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6466F1" w14:textId="77777777" w:rsidR="00FC5196" w:rsidRDefault="00FC5196" w:rsidP="003A050C">
      <w:pPr>
        <w:rPr>
          <w:color w:val="1D3C47" w:themeColor="text1"/>
          <w:sz w:val="21"/>
          <w:szCs w:val="21"/>
        </w:rPr>
      </w:pPr>
    </w:p>
    <w:p w14:paraId="4DC85505" w14:textId="78B8384A" w:rsidR="001F3368" w:rsidRPr="00A54AB5" w:rsidRDefault="0043553B" w:rsidP="003A050C">
      <w:pPr>
        <w:rPr>
          <w:color w:val="1D3C47" w:themeColor="text1"/>
          <w:sz w:val="21"/>
          <w:szCs w:val="21"/>
        </w:rPr>
      </w:pPr>
      <w:r w:rsidRPr="00A54AB5">
        <w:rPr>
          <w:color w:val="1D3C47" w:themeColor="text1"/>
          <w:sz w:val="21"/>
          <w:szCs w:val="21"/>
        </w:rPr>
        <w:t xml:space="preserve">October </w:t>
      </w:r>
      <w:r w:rsidR="00FC5196">
        <w:rPr>
          <w:color w:val="1D3C47" w:themeColor="text1"/>
          <w:sz w:val="21"/>
          <w:szCs w:val="21"/>
        </w:rPr>
        <w:t>6</w:t>
      </w:r>
      <w:r w:rsidR="003A050C" w:rsidRPr="00A54AB5">
        <w:rPr>
          <w:color w:val="1D3C47" w:themeColor="text1"/>
          <w:sz w:val="21"/>
          <w:szCs w:val="21"/>
        </w:rPr>
        <w:t>, 2026</w:t>
      </w:r>
    </w:p>
    <w:p w14:paraId="197281A0" w14:textId="77777777" w:rsidR="003A050C" w:rsidRPr="00A54AB5" w:rsidRDefault="001F3368" w:rsidP="003A050C">
      <w:pPr>
        <w:rPr>
          <w:color w:val="1D3C47" w:themeColor="text1"/>
          <w:sz w:val="21"/>
          <w:szCs w:val="21"/>
        </w:rPr>
      </w:pPr>
      <w:r w:rsidRPr="00A54AB5">
        <w:rPr>
          <w:color w:val="1D3C47" w:themeColor="text1"/>
          <w:sz w:val="21"/>
          <w:szCs w:val="21"/>
        </w:rPr>
        <w:t>Governor Bob Ferguson</w:t>
      </w:r>
      <w:r w:rsidR="003A050C" w:rsidRPr="00A54AB5">
        <w:rPr>
          <w:color w:val="1D3C47" w:themeColor="text1"/>
          <w:sz w:val="21"/>
          <w:szCs w:val="21"/>
        </w:rPr>
        <w:br/>
        <w:t>Office of the Governor</w:t>
      </w:r>
      <w:r w:rsidR="003A050C" w:rsidRPr="00A54AB5">
        <w:rPr>
          <w:color w:val="1D3C47" w:themeColor="text1"/>
          <w:sz w:val="21"/>
          <w:szCs w:val="21"/>
        </w:rPr>
        <w:br/>
        <w:t>P.O. Box 40002</w:t>
      </w:r>
      <w:r w:rsidR="003A050C" w:rsidRPr="00A54AB5">
        <w:rPr>
          <w:color w:val="1D3C47" w:themeColor="text1"/>
          <w:sz w:val="21"/>
          <w:szCs w:val="21"/>
        </w:rPr>
        <w:br/>
        <w:t>Olympia, WA 98504</w:t>
      </w:r>
    </w:p>
    <w:p w14:paraId="58E3A4AD" w14:textId="77777777" w:rsidR="003A050C" w:rsidRPr="00A54AB5" w:rsidRDefault="003A050C" w:rsidP="003A050C">
      <w:pPr>
        <w:rPr>
          <w:color w:val="1D3C47" w:themeColor="text1"/>
          <w:sz w:val="21"/>
          <w:szCs w:val="21"/>
        </w:rPr>
      </w:pPr>
      <w:r w:rsidRPr="00A54AB5">
        <w:rPr>
          <w:color w:val="1D3C47" w:themeColor="text1"/>
          <w:sz w:val="21"/>
          <w:szCs w:val="21"/>
        </w:rPr>
        <w:t>Members of the Washington State Legislature</w:t>
      </w:r>
      <w:r w:rsidRPr="00A54AB5">
        <w:rPr>
          <w:color w:val="1D3C47" w:themeColor="text1"/>
          <w:sz w:val="21"/>
          <w:szCs w:val="21"/>
        </w:rPr>
        <w:br/>
        <w:t>Legislative Building</w:t>
      </w:r>
      <w:r w:rsidRPr="00A54AB5">
        <w:rPr>
          <w:color w:val="1D3C47" w:themeColor="text1"/>
          <w:sz w:val="21"/>
          <w:szCs w:val="21"/>
        </w:rPr>
        <w:br/>
        <w:t>Olympia, WA 98504</w:t>
      </w:r>
    </w:p>
    <w:p w14:paraId="30315A9D" w14:textId="07990BA0" w:rsidR="003A050C" w:rsidRPr="00A54AB5" w:rsidRDefault="003A050C" w:rsidP="003A050C">
      <w:pPr>
        <w:rPr>
          <w:b/>
          <w:color w:val="1D3C47" w:themeColor="text1"/>
          <w:sz w:val="21"/>
          <w:szCs w:val="21"/>
        </w:rPr>
      </w:pPr>
      <w:r w:rsidRPr="00A54AB5">
        <w:rPr>
          <w:b/>
          <w:color w:val="1D3C47" w:themeColor="text1"/>
          <w:sz w:val="21"/>
          <w:szCs w:val="21"/>
        </w:rPr>
        <w:t xml:space="preserve">RE: Request to </w:t>
      </w:r>
      <w:r w:rsidR="007C1A34" w:rsidRPr="00A54AB5">
        <w:rPr>
          <w:b/>
          <w:color w:val="1D3C47" w:themeColor="text1"/>
          <w:sz w:val="21"/>
          <w:szCs w:val="21"/>
        </w:rPr>
        <w:t xml:space="preserve">Remove </w:t>
      </w:r>
      <w:r w:rsidR="00DE389D" w:rsidRPr="00A54AB5">
        <w:rPr>
          <w:b/>
          <w:color w:val="1D3C47" w:themeColor="text1"/>
          <w:sz w:val="21"/>
          <w:szCs w:val="21"/>
        </w:rPr>
        <w:t xml:space="preserve">Highly </w:t>
      </w:r>
      <w:r w:rsidR="007669F0" w:rsidRPr="00A54AB5">
        <w:rPr>
          <w:b/>
          <w:color w:val="1D3C47" w:themeColor="text1"/>
          <w:sz w:val="21"/>
          <w:szCs w:val="21"/>
        </w:rPr>
        <w:t xml:space="preserve">Flammable </w:t>
      </w:r>
      <w:r w:rsidRPr="00A54AB5">
        <w:rPr>
          <w:b/>
          <w:color w:val="1D3C47" w:themeColor="text1"/>
          <w:sz w:val="21"/>
          <w:szCs w:val="21"/>
        </w:rPr>
        <w:t>A3 Refrigerant</w:t>
      </w:r>
      <w:r w:rsidR="006E4F2D" w:rsidRPr="00A54AB5">
        <w:rPr>
          <w:b/>
          <w:color w:val="1D3C47" w:themeColor="text1"/>
          <w:sz w:val="21"/>
          <w:szCs w:val="21"/>
        </w:rPr>
        <w:t xml:space="preserve"> Exception</w:t>
      </w:r>
      <w:r w:rsidRPr="00A54AB5">
        <w:rPr>
          <w:b/>
          <w:color w:val="1D3C47" w:themeColor="text1"/>
          <w:sz w:val="21"/>
          <w:szCs w:val="21"/>
        </w:rPr>
        <w:t xml:space="preserve"> in the 2024 Washington State Mechanical Code</w:t>
      </w:r>
      <w:r w:rsidR="007C1A34" w:rsidRPr="00A54AB5">
        <w:rPr>
          <w:b/>
          <w:color w:val="1D3C47" w:themeColor="text1"/>
          <w:sz w:val="21"/>
          <w:szCs w:val="21"/>
        </w:rPr>
        <w:t xml:space="preserve"> - </w:t>
      </w:r>
      <w:r w:rsidR="007669F0" w:rsidRPr="00A54AB5">
        <w:rPr>
          <w:b/>
          <w:color w:val="1D3C47" w:themeColor="text1"/>
          <w:sz w:val="21"/>
          <w:szCs w:val="21"/>
        </w:rPr>
        <w:t>Proposal 24-GP1-113</w:t>
      </w:r>
    </w:p>
    <w:p w14:paraId="706E03BC" w14:textId="77777777" w:rsidR="003A050C" w:rsidRPr="00A54AB5" w:rsidRDefault="003A050C" w:rsidP="003A050C">
      <w:pPr>
        <w:rPr>
          <w:color w:val="1D3C47" w:themeColor="text1"/>
          <w:sz w:val="21"/>
          <w:szCs w:val="21"/>
        </w:rPr>
      </w:pPr>
      <w:r w:rsidRPr="00A54AB5">
        <w:rPr>
          <w:color w:val="1D3C47" w:themeColor="text1"/>
          <w:sz w:val="21"/>
          <w:szCs w:val="21"/>
        </w:rPr>
        <w:t>Dear Governor Ferguson and Members of the Washington State Legislature</w:t>
      </w:r>
      <w:r w:rsidR="007669F0" w:rsidRPr="00A54AB5">
        <w:rPr>
          <w:color w:val="1D3C47" w:themeColor="text1"/>
          <w:sz w:val="21"/>
          <w:szCs w:val="21"/>
        </w:rPr>
        <w:t>,</w:t>
      </w:r>
    </w:p>
    <w:p w14:paraId="4792472C" w14:textId="6D5F82FE" w:rsidR="003A050C" w:rsidRPr="00A54AB5" w:rsidRDefault="003A050C" w:rsidP="003A050C">
      <w:pPr>
        <w:rPr>
          <w:color w:val="1D3C47" w:themeColor="text1"/>
          <w:sz w:val="21"/>
          <w:szCs w:val="21"/>
        </w:rPr>
      </w:pPr>
      <w:r w:rsidRPr="00A54AB5">
        <w:rPr>
          <w:color w:val="1D3C47" w:themeColor="text1"/>
          <w:sz w:val="21"/>
          <w:szCs w:val="21"/>
        </w:rPr>
        <w:t>Heating, Air-Conditioning &amp; Refrigeration Distributors International (HARDI)</w:t>
      </w:r>
      <w:r w:rsidR="001F3368" w:rsidRPr="00A54AB5">
        <w:rPr>
          <w:color w:val="1D3C47" w:themeColor="text1"/>
          <w:sz w:val="21"/>
          <w:szCs w:val="21"/>
        </w:rPr>
        <w:t xml:space="preserve">, </w:t>
      </w:r>
      <w:r w:rsidRPr="00A54AB5">
        <w:rPr>
          <w:color w:val="1D3C47" w:themeColor="text1"/>
          <w:sz w:val="21"/>
          <w:szCs w:val="21"/>
        </w:rPr>
        <w:t xml:space="preserve">Washington Air Conditioning Contractors </w:t>
      </w:r>
      <w:r w:rsidR="00D36079">
        <w:rPr>
          <w:color w:val="1D3C47" w:themeColor="text1"/>
          <w:sz w:val="21"/>
          <w:szCs w:val="21"/>
        </w:rPr>
        <w:t>Association</w:t>
      </w:r>
      <w:r w:rsidRPr="00A54AB5">
        <w:rPr>
          <w:color w:val="1D3C47" w:themeColor="text1"/>
          <w:sz w:val="21"/>
          <w:szCs w:val="21"/>
        </w:rPr>
        <w:t xml:space="preserve"> (WA ACCA)</w:t>
      </w:r>
      <w:r w:rsidR="001F3368" w:rsidRPr="00A54AB5">
        <w:rPr>
          <w:color w:val="1D3C47" w:themeColor="text1"/>
          <w:sz w:val="21"/>
          <w:szCs w:val="21"/>
        </w:rPr>
        <w:t>, Air-Conditioning, Heating, and Refrigeration Institute (AHRI)</w:t>
      </w:r>
      <w:r w:rsidR="005E47C2" w:rsidRPr="00A54AB5">
        <w:rPr>
          <w:color w:val="1D3C47" w:themeColor="text1"/>
          <w:sz w:val="21"/>
          <w:szCs w:val="21"/>
        </w:rPr>
        <w:t>, the Plumbing</w:t>
      </w:r>
      <w:r w:rsidR="00473463">
        <w:rPr>
          <w:color w:val="1D3C47" w:themeColor="text1"/>
          <w:sz w:val="21"/>
          <w:szCs w:val="21"/>
        </w:rPr>
        <w:t>-</w:t>
      </w:r>
      <w:r w:rsidR="005E47C2" w:rsidRPr="00A54AB5">
        <w:rPr>
          <w:color w:val="1D3C47" w:themeColor="text1"/>
          <w:sz w:val="21"/>
          <w:szCs w:val="21"/>
        </w:rPr>
        <w:t>Heating</w:t>
      </w:r>
      <w:r w:rsidR="00473463">
        <w:rPr>
          <w:color w:val="1D3C47" w:themeColor="text1"/>
          <w:sz w:val="21"/>
          <w:szCs w:val="21"/>
        </w:rPr>
        <w:t>-</w:t>
      </w:r>
      <w:r w:rsidR="005E47C2" w:rsidRPr="00A54AB5">
        <w:rPr>
          <w:color w:val="1D3C47" w:themeColor="text1"/>
          <w:sz w:val="21"/>
          <w:szCs w:val="21"/>
        </w:rPr>
        <w:t>Cooling Contractors</w:t>
      </w:r>
      <w:r w:rsidR="00473463">
        <w:rPr>
          <w:color w:val="1D3C47" w:themeColor="text1"/>
          <w:sz w:val="21"/>
          <w:szCs w:val="21"/>
        </w:rPr>
        <w:t xml:space="preserve"> - National</w:t>
      </w:r>
      <w:r w:rsidR="005E47C2" w:rsidRPr="00A54AB5">
        <w:rPr>
          <w:color w:val="1D3C47" w:themeColor="text1"/>
          <w:sz w:val="21"/>
          <w:szCs w:val="21"/>
        </w:rPr>
        <w:t xml:space="preserve"> Association (PHCC), and the Plumbing</w:t>
      </w:r>
      <w:r w:rsidR="00473463">
        <w:rPr>
          <w:color w:val="1D3C47" w:themeColor="text1"/>
          <w:sz w:val="21"/>
          <w:szCs w:val="21"/>
        </w:rPr>
        <w:t>-</w:t>
      </w:r>
      <w:r w:rsidR="005E47C2" w:rsidRPr="00A54AB5">
        <w:rPr>
          <w:color w:val="1D3C47" w:themeColor="text1"/>
          <w:sz w:val="21"/>
          <w:szCs w:val="21"/>
        </w:rPr>
        <w:t>Heating</w:t>
      </w:r>
      <w:r w:rsidR="00473463">
        <w:rPr>
          <w:color w:val="1D3C47" w:themeColor="text1"/>
          <w:sz w:val="21"/>
          <w:szCs w:val="21"/>
        </w:rPr>
        <w:t>-</w:t>
      </w:r>
      <w:r w:rsidR="005E47C2" w:rsidRPr="00A54AB5">
        <w:rPr>
          <w:color w:val="1D3C47" w:themeColor="text1"/>
          <w:sz w:val="21"/>
          <w:szCs w:val="21"/>
        </w:rPr>
        <w:t>Cooling Contractors Association of Washington (PHCC WA)</w:t>
      </w:r>
      <w:r w:rsidRPr="00A54AB5">
        <w:rPr>
          <w:color w:val="1D3C47" w:themeColor="text1"/>
          <w:sz w:val="21"/>
          <w:szCs w:val="21"/>
        </w:rPr>
        <w:t xml:space="preserve"> </w:t>
      </w:r>
      <w:r w:rsidR="00DE389D" w:rsidRPr="00A54AB5">
        <w:rPr>
          <w:color w:val="1D3C47" w:themeColor="text1"/>
          <w:sz w:val="21"/>
          <w:szCs w:val="21"/>
        </w:rPr>
        <w:t xml:space="preserve">oppose the </w:t>
      </w:r>
      <w:r w:rsidR="00024C88" w:rsidRPr="00A54AB5">
        <w:rPr>
          <w:color w:val="1D3C47" w:themeColor="text1"/>
          <w:sz w:val="21"/>
          <w:szCs w:val="21"/>
        </w:rPr>
        <w:t>recent actions by the State Building Code Council</w:t>
      </w:r>
      <w:r w:rsidR="007C1A34" w:rsidRPr="00A54AB5">
        <w:rPr>
          <w:color w:val="1D3C47" w:themeColor="text1"/>
          <w:sz w:val="21"/>
          <w:szCs w:val="21"/>
        </w:rPr>
        <w:t xml:space="preserve"> (SBCC)</w:t>
      </w:r>
      <w:r w:rsidR="00024C88" w:rsidRPr="00A54AB5">
        <w:rPr>
          <w:color w:val="1D3C47" w:themeColor="text1"/>
          <w:sz w:val="21"/>
          <w:szCs w:val="21"/>
        </w:rPr>
        <w:t xml:space="preserve"> to make changes to the Washington Mechanical Code under</w:t>
      </w:r>
      <w:r w:rsidR="00DE389D" w:rsidRPr="00A54AB5">
        <w:rPr>
          <w:color w:val="1D3C47" w:themeColor="text1"/>
          <w:sz w:val="21"/>
          <w:szCs w:val="21"/>
        </w:rPr>
        <w:t xml:space="preserve"> proposal 24-GP1-113, which would </w:t>
      </w:r>
      <w:r w:rsidR="00024C88" w:rsidRPr="00A54AB5">
        <w:rPr>
          <w:color w:val="1D3C47" w:themeColor="text1"/>
          <w:sz w:val="21"/>
          <w:szCs w:val="21"/>
        </w:rPr>
        <w:t>allow</w:t>
      </w:r>
      <w:r w:rsidR="00DE389D" w:rsidRPr="00A54AB5">
        <w:rPr>
          <w:color w:val="1D3C47" w:themeColor="text1"/>
          <w:sz w:val="21"/>
          <w:szCs w:val="21"/>
        </w:rPr>
        <w:t xml:space="preserve"> highly flammable A3 refrigerant equipment </w:t>
      </w:r>
      <w:r w:rsidR="00024C88" w:rsidRPr="00A54AB5">
        <w:rPr>
          <w:color w:val="1D3C47" w:themeColor="text1"/>
          <w:sz w:val="21"/>
          <w:szCs w:val="21"/>
        </w:rPr>
        <w:t>for use in homes and businesses</w:t>
      </w:r>
      <w:r w:rsidR="00DE389D" w:rsidRPr="00A54AB5">
        <w:rPr>
          <w:color w:val="1D3C47" w:themeColor="text1"/>
          <w:sz w:val="21"/>
          <w:szCs w:val="21"/>
        </w:rPr>
        <w:t xml:space="preserve">. </w:t>
      </w:r>
      <w:r w:rsidR="00024C88" w:rsidRPr="00A54AB5">
        <w:rPr>
          <w:color w:val="1D3C47" w:themeColor="text1"/>
          <w:sz w:val="21"/>
          <w:szCs w:val="21"/>
        </w:rPr>
        <w:t xml:space="preserve">National safety standards for </w:t>
      </w:r>
      <w:r w:rsidR="00A41DF6" w:rsidRPr="00A54AB5">
        <w:rPr>
          <w:color w:val="1D3C47" w:themeColor="text1"/>
          <w:sz w:val="21"/>
          <w:szCs w:val="21"/>
        </w:rPr>
        <w:t>manufacturing</w:t>
      </w:r>
      <w:r w:rsidR="00024C88" w:rsidRPr="00A54AB5">
        <w:rPr>
          <w:color w:val="1D3C47" w:themeColor="text1"/>
          <w:sz w:val="21"/>
          <w:szCs w:val="21"/>
        </w:rPr>
        <w:t xml:space="preserve"> and install</w:t>
      </w:r>
      <w:r w:rsidR="00A41DF6" w:rsidRPr="00A54AB5">
        <w:rPr>
          <w:color w:val="1D3C47" w:themeColor="text1"/>
          <w:sz w:val="21"/>
          <w:szCs w:val="21"/>
        </w:rPr>
        <w:t>ing</w:t>
      </w:r>
      <w:r w:rsidR="00024C88" w:rsidRPr="00A54AB5">
        <w:rPr>
          <w:color w:val="1D3C47" w:themeColor="text1"/>
          <w:sz w:val="21"/>
          <w:szCs w:val="21"/>
        </w:rPr>
        <w:t xml:space="preserve"> heat pumps, air conditioners, and refrigeration systems impose strict limits on highly flammable refrigerants; this code change bypasses those safety standards. Our organizations </w:t>
      </w:r>
      <w:r w:rsidR="00A41DF6" w:rsidRPr="00A54AB5">
        <w:rPr>
          <w:color w:val="1D3C47" w:themeColor="text1"/>
          <w:sz w:val="21"/>
          <w:szCs w:val="21"/>
        </w:rPr>
        <w:t>ask</w:t>
      </w:r>
      <w:r w:rsidR="00024C88" w:rsidRPr="00A54AB5">
        <w:rPr>
          <w:color w:val="1D3C47" w:themeColor="text1"/>
          <w:sz w:val="21"/>
          <w:szCs w:val="21"/>
        </w:rPr>
        <w:t xml:space="preserve"> state leaders to step in and stop this change.</w:t>
      </w:r>
    </w:p>
    <w:p w14:paraId="51C130D6" w14:textId="0F9D85FD" w:rsidR="006E4F2D" w:rsidRPr="00A54AB5" w:rsidRDefault="006E4F2D" w:rsidP="003A050C">
      <w:pPr>
        <w:rPr>
          <w:color w:val="1D3C47" w:themeColor="text1"/>
          <w:sz w:val="21"/>
          <w:szCs w:val="21"/>
        </w:rPr>
      </w:pPr>
      <w:r w:rsidRPr="00A54AB5">
        <w:rPr>
          <w:color w:val="1D3C47" w:themeColor="text1"/>
          <w:sz w:val="21"/>
          <w:szCs w:val="21"/>
        </w:rPr>
        <w:t>This position does not reflect opposition to innovation or the transition away from higher-GWP HFC refrigerants; it reflects the need to ensure that new refrigerant technologies are supported by complete, nationally coordinated safety and implementation standards before widespread adoption. Our request is supported across all sectors of the HVACR supply chain, including by manufacturers, distributors, and contractors.</w:t>
      </w:r>
    </w:p>
    <w:p w14:paraId="7B7B5103" w14:textId="451E7FDF" w:rsidR="003A050C" w:rsidRPr="00A54AB5" w:rsidRDefault="003A050C" w:rsidP="003A050C">
      <w:pPr>
        <w:rPr>
          <w:color w:val="1D3C47" w:themeColor="text1"/>
          <w:sz w:val="21"/>
          <w:szCs w:val="21"/>
        </w:rPr>
      </w:pPr>
      <w:r w:rsidRPr="00A54AB5">
        <w:rPr>
          <w:color w:val="1D3C47" w:themeColor="text1"/>
          <w:sz w:val="21"/>
          <w:szCs w:val="21"/>
        </w:rPr>
        <w:t xml:space="preserve">We </w:t>
      </w:r>
      <w:r w:rsidR="00E26A3F" w:rsidRPr="00A54AB5">
        <w:rPr>
          <w:color w:val="1D3C47" w:themeColor="text1"/>
          <w:sz w:val="21"/>
          <w:szCs w:val="21"/>
        </w:rPr>
        <w:t xml:space="preserve">respectfully request that the Governor and </w:t>
      </w:r>
      <w:r w:rsidR="007C1A34" w:rsidRPr="00A54AB5">
        <w:rPr>
          <w:color w:val="1D3C47" w:themeColor="text1"/>
          <w:sz w:val="21"/>
          <w:szCs w:val="21"/>
        </w:rPr>
        <w:t>L</w:t>
      </w:r>
      <w:r w:rsidR="00E26A3F" w:rsidRPr="00A54AB5">
        <w:rPr>
          <w:color w:val="1D3C47" w:themeColor="text1"/>
          <w:sz w:val="21"/>
          <w:szCs w:val="21"/>
        </w:rPr>
        <w:t xml:space="preserve">egislature consider directing the SBCC to refrain from filing </w:t>
      </w:r>
      <w:r w:rsidR="007C1A34" w:rsidRPr="00A54AB5">
        <w:rPr>
          <w:color w:val="1D3C47" w:themeColor="text1"/>
          <w:sz w:val="21"/>
          <w:szCs w:val="21"/>
        </w:rPr>
        <w:t>the final rule adopting the 2024 Washington State Mechanical Code</w:t>
      </w:r>
      <w:r w:rsidR="00E26A3F" w:rsidRPr="00A54AB5">
        <w:rPr>
          <w:color w:val="1D3C47" w:themeColor="text1"/>
          <w:sz w:val="21"/>
          <w:szCs w:val="21"/>
        </w:rPr>
        <w:t xml:space="preserve"> unless the exceptions added under section 1101.2 of the IMC (Proposal Log Number 24-GP1-113 affecting WAC 51-52-1101) and the corresponding references added to chapter 15 of the IMC (WAC 51-52-1500) have been removed</w:t>
      </w:r>
      <w:r w:rsidR="007C1A34" w:rsidRPr="00A54AB5">
        <w:rPr>
          <w:color w:val="1D3C47" w:themeColor="text1"/>
          <w:sz w:val="21"/>
          <w:szCs w:val="21"/>
        </w:rPr>
        <w:t>.</w:t>
      </w:r>
    </w:p>
    <w:p w14:paraId="44DFE709" w14:textId="77777777" w:rsidR="00B821AD" w:rsidRPr="00A54AB5" w:rsidRDefault="00B821AD" w:rsidP="00B821AD">
      <w:pPr>
        <w:rPr>
          <w:rFonts w:ascii="Sweet Sans Pro" w:hAnsi="Sweet Sans Pro" w:cs="Sweet Sans Pro"/>
          <w:b/>
          <w:bCs/>
          <w:color w:val="1D3C47" w:themeColor="text1"/>
          <w:sz w:val="21"/>
          <w:szCs w:val="21"/>
        </w:rPr>
      </w:pPr>
      <w:r w:rsidRPr="00A54AB5">
        <w:rPr>
          <w:rFonts w:ascii="Sweet Sans Pro" w:hAnsi="Sweet Sans Pro" w:cs="Sweet Sans Pro"/>
          <w:b/>
          <w:bCs/>
          <w:color w:val="1D3C47" w:themeColor="text1"/>
          <w:sz w:val="21"/>
          <w:szCs w:val="21"/>
        </w:rPr>
        <w:t>Washington Safety Officials Raised Objections</w:t>
      </w:r>
    </w:p>
    <w:p w14:paraId="5CAF235A" w14:textId="3F8318C6" w:rsidR="00B821AD" w:rsidRPr="00A54AB5" w:rsidRDefault="00B821AD" w:rsidP="00B821AD">
      <w:pPr>
        <w:rPr>
          <w:color w:val="1D3C47" w:themeColor="text1"/>
          <w:sz w:val="21"/>
          <w:szCs w:val="21"/>
        </w:rPr>
      </w:pPr>
      <w:r w:rsidRPr="00A54AB5">
        <w:rPr>
          <w:color w:val="1D3C47" w:themeColor="text1"/>
          <w:sz w:val="21"/>
          <w:szCs w:val="21"/>
        </w:rPr>
        <w:t xml:space="preserve">The </w:t>
      </w:r>
      <w:r w:rsidR="00024C88" w:rsidRPr="00A54AB5">
        <w:rPr>
          <w:color w:val="1D3C47" w:themeColor="text1"/>
          <w:sz w:val="21"/>
          <w:szCs w:val="21"/>
        </w:rPr>
        <w:t>SBCC'</w:t>
      </w:r>
      <w:r w:rsidRPr="00A54AB5">
        <w:rPr>
          <w:color w:val="1D3C47" w:themeColor="text1"/>
          <w:sz w:val="21"/>
          <w:szCs w:val="21"/>
        </w:rPr>
        <w:t xml:space="preserve">s </w:t>
      </w:r>
      <w:r w:rsidR="00024C88" w:rsidRPr="00A54AB5">
        <w:rPr>
          <w:color w:val="1D3C47" w:themeColor="text1"/>
          <w:sz w:val="21"/>
          <w:szCs w:val="21"/>
        </w:rPr>
        <w:t>deliberations</w:t>
      </w:r>
      <w:r w:rsidRPr="00A54AB5">
        <w:rPr>
          <w:color w:val="1D3C47" w:themeColor="text1"/>
          <w:sz w:val="21"/>
          <w:szCs w:val="21"/>
        </w:rPr>
        <w:t xml:space="preserve"> </w:t>
      </w:r>
      <w:r w:rsidR="00024C88" w:rsidRPr="00A54AB5">
        <w:rPr>
          <w:color w:val="1D3C47" w:themeColor="text1"/>
          <w:sz w:val="21"/>
          <w:szCs w:val="21"/>
        </w:rPr>
        <w:t>reinforce</w:t>
      </w:r>
      <w:r w:rsidRPr="00A54AB5">
        <w:rPr>
          <w:color w:val="1D3C47" w:themeColor="text1"/>
          <w:sz w:val="21"/>
          <w:szCs w:val="21"/>
        </w:rPr>
        <w:t xml:space="preserve"> the </w:t>
      </w:r>
      <w:r w:rsidR="00024C88" w:rsidRPr="00A54AB5">
        <w:rPr>
          <w:color w:val="1D3C47" w:themeColor="text1"/>
          <w:sz w:val="21"/>
          <w:szCs w:val="21"/>
        </w:rPr>
        <w:t>concern</w:t>
      </w:r>
      <w:r w:rsidRPr="00A54AB5">
        <w:rPr>
          <w:color w:val="1D3C47" w:themeColor="text1"/>
          <w:sz w:val="21"/>
          <w:szCs w:val="21"/>
        </w:rPr>
        <w:t xml:space="preserve">. Two </w:t>
      </w:r>
      <w:r w:rsidR="00A523F1" w:rsidRPr="00A54AB5">
        <w:rPr>
          <w:color w:val="1D3C47" w:themeColor="text1"/>
          <w:sz w:val="21"/>
          <w:szCs w:val="21"/>
        </w:rPr>
        <w:t>c</w:t>
      </w:r>
      <w:r w:rsidRPr="00A54AB5">
        <w:rPr>
          <w:color w:val="1D3C47" w:themeColor="text1"/>
          <w:sz w:val="21"/>
          <w:szCs w:val="21"/>
        </w:rPr>
        <w:t>ouncil members with direct public-safety and enforcement responsibilities, a fire marshal and a building-code enforcement official, opposed these provisions and voted against adopting them in the SBCC’s work session on August 25</w:t>
      </w:r>
      <w:r w:rsidR="00BD68E8" w:rsidRPr="00A54AB5">
        <w:rPr>
          <w:color w:val="1D3C47" w:themeColor="text1"/>
          <w:sz w:val="21"/>
          <w:szCs w:val="21"/>
        </w:rPr>
        <w:t>, 2026.</w:t>
      </w:r>
      <w:r w:rsidRPr="00A54AB5">
        <w:rPr>
          <w:rStyle w:val="FootnoteReference"/>
          <w:color w:val="1D3C47" w:themeColor="text1"/>
          <w:sz w:val="21"/>
          <w:szCs w:val="21"/>
        </w:rPr>
        <w:footnoteReference w:id="1"/>
      </w:r>
      <w:r w:rsidRPr="00A54AB5">
        <w:rPr>
          <w:color w:val="1D3C47" w:themeColor="text1"/>
          <w:sz w:val="21"/>
          <w:szCs w:val="21"/>
        </w:rPr>
        <w:t xml:space="preserve"> Their objections </w:t>
      </w:r>
      <w:r w:rsidR="00024C88" w:rsidRPr="00A54AB5">
        <w:rPr>
          <w:color w:val="1D3C47" w:themeColor="text1"/>
          <w:sz w:val="21"/>
          <w:szCs w:val="21"/>
        </w:rPr>
        <w:t xml:space="preserve">deserve significant weight because local fire and building officials will </w:t>
      </w:r>
      <w:r w:rsidR="00BD68E8" w:rsidRPr="00A54AB5">
        <w:rPr>
          <w:color w:val="1D3C47" w:themeColor="text1"/>
          <w:sz w:val="21"/>
          <w:szCs w:val="21"/>
        </w:rPr>
        <w:lastRenderedPageBreak/>
        <w:t>approve</w:t>
      </w:r>
      <w:r w:rsidR="00024C88" w:rsidRPr="00A54AB5">
        <w:rPr>
          <w:color w:val="1D3C47" w:themeColor="text1"/>
          <w:sz w:val="21"/>
          <w:szCs w:val="21"/>
        </w:rPr>
        <w:t xml:space="preserve"> installations, interpret unfamiliar standards, and respond</w:t>
      </w:r>
      <w:r w:rsidRPr="00A54AB5">
        <w:rPr>
          <w:color w:val="1D3C47" w:themeColor="text1"/>
          <w:sz w:val="21"/>
          <w:szCs w:val="21"/>
        </w:rPr>
        <w:t xml:space="preserve"> when an incident occurs.</w:t>
      </w:r>
      <w:r w:rsidR="00BD68E8" w:rsidRPr="00A54AB5">
        <w:rPr>
          <w:color w:val="1D3C47" w:themeColor="text1"/>
          <w:sz w:val="21"/>
          <w:szCs w:val="21"/>
        </w:rPr>
        <w:t xml:space="preserve"> Ignoring </w:t>
      </w:r>
      <w:r w:rsidR="00A41DF6" w:rsidRPr="00A54AB5">
        <w:rPr>
          <w:color w:val="1D3C47" w:themeColor="text1"/>
          <w:kern w:val="0"/>
          <w:sz w:val="21"/>
          <w:szCs w:val="21"/>
          <w14:ligatures w14:val="none"/>
        </w:rPr>
        <w:t>subject-matter experts’ objections about safety concerns with potentially hazardous materials should prompt anyone to ask</w:t>
      </w:r>
      <w:r w:rsidR="007C5CF4" w:rsidRPr="00A54AB5">
        <w:rPr>
          <w:color w:val="1D3C47" w:themeColor="text1"/>
          <w:sz w:val="21"/>
          <w:szCs w:val="21"/>
        </w:rPr>
        <w:t xml:space="preserve"> for more information.</w:t>
      </w:r>
    </w:p>
    <w:p w14:paraId="45EC20CA" w14:textId="77777777" w:rsidR="000E32F8" w:rsidRPr="00A54AB5" w:rsidRDefault="00B821AD" w:rsidP="003A050C">
      <w:pPr>
        <w:rPr>
          <w:color w:val="1D3C47" w:themeColor="text1"/>
          <w:sz w:val="21"/>
          <w:szCs w:val="21"/>
        </w:rPr>
      </w:pPr>
      <w:r w:rsidRPr="00A54AB5">
        <w:rPr>
          <w:color w:val="1D3C47" w:themeColor="text1"/>
          <w:sz w:val="21"/>
          <w:szCs w:val="21"/>
        </w:rPr>
        <w:t>Washington law makes this expertise especially relevant. The State Building Code Act directs the code system to promote health, safety</w:t>
      </w:r>
      <w:r w:rsidR="00024C88" w:rsidRPr="00A54AB5">
        <w:rPr>
          <w:color w:val="1D3C47" w:themeColor="text1"/>
          <w:sz w:val="21"/>
          <w:szCs w:val="21"/>
        </w:rPr>
        <w:t>,</w:t>
      </w:r>
      <w:r w:rsidRPr="00A54AB5">
        <w:rPr>
          <w:color w:val="1D3C47" w:themeColor="text1"/>
          <w:sz w:val="21"/>
          <w:szCs w:val="21"/>
        </w:rPr>
        <w:t xml:space="preserve"> and welfare through requirements consistent with accepted engineering and fire-and-life-safety standards. It also requires the Council to solicit first-responder input, so </w:t>
      </w:r>
      <w:r w:rsidR="00024C88" w:rsidRPr="00A54AB5">
        <w:rPr>
          <w:color w:val="1D3C47" w:themeColor="text1"/>
          <w:sz w:val="21"/>
          <w:szCs w:val="21"/>
        </w:rPr>
        <w:t>it</w:t>
      </w:r>
      <w:r w:rsidRPr="00A54AB5">
        <w:rPr>
          <w:color w:val="1D3C47" w:themeColor="text1"/>
          <w:sz w:val="21"/>
          <w:szCs w:val="21"/>
        </w:rPr>
        <w:t xml:space="preserve"> </w:t>
      </w:r>
      <w:r w:rsidR="00024C88" w:rsidRPr="00A54AB5">
        <w:rPr>
          <w:color w:val="1D3C47" w:themeColor="text1"/>
          <w:sz w:val="21"/>
          <w:szCs w:val="21"/>
        </w:rPr>
        <w:t>address</w:t>
      </w:r>
      <w:r w:rsidRPr="00A54AB5">
        <w:rPr>
          <w:color w:val="1D3C47" w:themeColor="text1"/>
          <w:sz w:val="21"/>
          <w:szCs w:val="21"/>
        </w:rPr>
        <w:t xml:space="preserve">es </w:t>
      </w:r>
      <w:r w:rsidR="00024C88" w:rsidRPr="00A54AB5">
        <w:rPr>
          <w:color w:val="1D3C47" w:themeColor="text1"/>
          <w:sz w:val="21"/>
          <w:szCs w:val="21"/>
        </w:rPr>
        <w:t>firefighter-safety</w:t>
      </w:r>
      <w:r w:rsidRPr="00A54AB5">
        <w:rPr>
          <w:color w:val="1D3C47" w:themeColor="text1"/>
          <w:sz w:val="21"/>
          <w:szCs w:val="21"/>
        </w:rPr>
        <w:t xml:space="preserve"> </w:t>
      </w:r>
      <w:r w:rsidR="00024C88" w:rsidRPr="00A54AB5">
        <w:rPr>
          <w:color w:val="1D3C47" w:themeColor="text1"/>
          <w:sz w:val="21"/>
          <w:szCs w:val="21"/>
        </w:rPr>
        <w:t>issues</w:t>
      </w:r>
      <w:r w:rsidRPr="00A54AB5">
        <w:rPr>
          <w:color w:val="1D3C47" w:themeColor="text1"/>
          <w:sz w:val="21"/>
          <w:szCs w:val="21"/>
        </w:rPr>
        <w:t xml:space="preserve"> during code adoption.</w:t>
      </w:r>
      <w:r w:rsidRPr="00A54AB5">
        <w:rPr>
          <w:rStyle w:val="FootnoteReference"/>
          <w:color w:val="1D3C47" w:themeColor="text1"/>
          <w:sz w:val="21"/>
          <w:szCs w:val="21"/>
        </w:rPr>
        <w:footnoteReference w:id="2"/>
      </w:r>
      <w:r w:rsidRPr="00A54AB5">
        <w:rPr>
          <w:color w:val="1D3C47" w:themeColor="text1"/>
          <w:sz w:val="21"/>
          <w:szCs w:val="21"/>
        </w:rPr>
        <w:t xml:space="preserve"> Moving forward despite unresolved objections from the officials expected to enforce and respond under the provision would be premature.</w:t>
      </w:r>
    </w:p>
    <w:p w14:paraId="0EB2D135" w14:textId="77777777" w:rsidR="003A050C" w:rsidRPr="00A54AB5" w:rsidRDefault="003A050C" w:rsidP="003A050C">
      <w:pPr>
        <w:rPr>
          <w:rFonts w:ascii="Sweet Sans Pro" w:hAnsi="Sweet Sans Pro" w:cs="Sweet Sans Pro"/>
          <w:b/>
          <w:bCs/>
          <w:color w:val="1D3C47" w:themeColor="text1"/>
          <w:sz w:val="21"/>
          <w:szCs w:val="21"/>
        </w:rPr>
      </w:pPr>
      <w:r w:rsidRPr="00A54AB5">
        <w:rPr>
          <w:rFonts w:ascii="Sweet Sans Pro" w:hAnsi="Sweet Sans Pro" w:cs="Sweet Sans Pro"/>
          <w:b/>
          <w:bCs/>
          <w:color w:val="1D3C47" w:themeColor="text1"/>
          <w:sz w:val="21"/>
          <w:szCs w:val="21"/>
        </w:rPr>
        <w:t>Outpacing North American Safety Guidelines</w:t>
      </w:r>
    </w:p>
    <w:p w14:paraId="7D10A056" w14:textId="77777777" w:rsidR="003A050C" w:rsidRPr="00A54AB5" w:rsidRDefault="003A050C" w:rsidP="003A050C">
      <w:pPr>
        <w:rPr>
          <w:color w:val="1D3C47" w:themeColor="text1"/>
          <w:sz w:val="21"/>
          <w:szCs w:val="21"/>
        </w:rPr>
      </w:pPr>
      <w:r w:rsidRPr="00A54AB5">
        <w:rPr>
          <w:color w:val="1D3C47" w:themeColor="text1"/>
          <w:sz w:val="21"/>
          <w:szCs w:val="21"/>
        </w:rPr>
        <w:t xml:space="preserve">The proposed exception would rely on international product and installation standards for equipment not </w:t>
      </w:r>
      <w:r w:rsidR="00BD68E8" w:rsidRPr="00A54AB5">
        <w:rPr>
          <w:color w:val="1D3C47" w:themeColor="text1"/>
          <w:sz w:val="21"/>
          <w:szCs w:val="21"/>
        </w:rPr>
        <w:t>curr</w:t>
      </w:r>
      <w:r w:rsidRPr="00A54AB5">
        <w:rPr>
          <w:color w:val="1D3C47" w:themeColor="text1"/>
          <w:sz w:val="21"/>
          <w:szCs w:val="21"/>
        </w:rPr>
        <w:t>ently manufactured or distributed for the U.S. residential comfort-conditioning market. IEC 60335-2-40</w:t>
      </w:r>
      <w:r w:rsidR="00BD68E8" w:rsidRPr="00A54AB5">
        <w:rPr>
          <w:color w:val="1D3C47" w:themeColor="text1"/>
          <w:sz w:val="21"/>
          <w:szCs w:val="21"/>
        </w:rPr>
        <w:t xml:space="preserve"> and EN 378 are</w:t>
      </w:r>
      <w:r w:rsidRPr="00A54AB5">
        <w:rPr>
          <w:color w:val="1D3C47" w:themeColor="text1"/>
          <w:sz w:val="21"/>
          <w:szCs w:val="21"/>
        </w:rPr>
        <w:t xml:space="preserve"> </w:t>
      </w:r>
      <w:r w:rsidR="00BD68E8" w:rsidRPr="00A54AB5">
        <w:rPr>
          <w:color w:val="1D3C47" w:themeColor="text1"/>
          <w:sz w:val="21"/>
          <w:szCs w:val="21"/>
        </w:rPr>
        <w:t>product</w:t>
      </w:r>
      <w:r w:rsidRPr="00A54AB5">
        <w:rPr>
          <w:color w:val="1D3C47" w:themeColor="text1"/>
          <w:sz w:val="21"/>
          <w:szCs w:val="21"/>
        </w:rPr>
        <w:t xml:space="preserve"> standard</w:t>
      </w:r>
      <w:r w:rsidR="00BD68E8" w:rsidRPr="00A54AB5">
        <w:rPr>
          <w:color w:val="1D3C47" w:themeColor="text1"/>
          <w:sz w:val="21"/>
          <w:szCs w:val="21"/>
        </w:rPr>
        <w:t>s for manufacturing and installation primarily used in Europe</w:t>
      </w:r>
      <w:r w:rsidRPr="00A54AB5">
        <w:rPr>
          <w:color w:val="1D3C47" w:themeColor="text1"/>
          <w:sz w:val="21"/>
          <w:szCs w:val="21"/>
        </w:rPr>
        <w:t>. The</w:t>
      </w:r>
      <w:r w:rsidR="00BD68E8" w:rsidRPr="00A54AB5">
        <w:rPr>
          <w:color w:val="1D3C47" w:themeColor="text1"/>
          <w:sz w:val="21"/>
          <w:szCs w:val="21"/>
        </w:rPr>
        <w:t>se standards</w:t>
      </w:r>
      <w:r w:rsidRPr="00A54AB5">
        <w:rPr>
          <w:color w:val="1D3C47" w:themeColor="text1"/>
          <w:sz w:val="21"/>
          <w:szCs w:val="21"/>
        </w:rPr>
        <w:t xml:space="preserve"> operate within a regulatory and enforcement system </w:t>
      </w:r>
      <w:r w:rsidR="00BD68E8" w:rsidRPr="00A54AB5">
        <w:rPr>
          <w:color w:val="1D3C47" w:themeColor="text1"/>
          <w:sz w:val="21"/>
          <w:szCs w:val="21"/>
        </w:rPr>
        <w:t xml:space="preserve">that </w:t>
      </w:r>
      <w:r w:rsidRPr="00A54AB5">
        <w:rPr>
          <w:color w:val="1D3C47" w:themeColor="text1"/>
          <w:sz w:val="21"/>
          <w:szCs w:val="21"/>
        </w:rPr>
        <w:t>differ</w:t>
      </w:r>
      <w:r w:rsidR="00BD68E8" w:rsidRPr="00A54AB5">
        <w:rPr>
          <w:color w:val="1D3C47" w:themeColor="text1"/>
          <w:sz w:val="21"/>
          <w:szCs w:val="21"/>
        </w:rPr>
        <w:t>s entirely</w:t>
      </w:r>
      <w:r w:rsidRPr="00A54AB5">
        <w:rPr>
          <w:color w:val="1D3C47" w:themeColor="text1"/>
          <w:sz w:val="21"/>
          <w:szCs w:val="21"/>
        </w:rPr>
        <w:t xml:space="preserve"> from </w:t>
      </w:r>
      <w:r w:rsidR="00485756" w:rsidRPr="00A54AB5">
        <w:rPr>
          <w:color w:val="1D3C47" w:themeColor="text1"/>
          <w:sz w:val="21"/>
          <w:szCs w:val="21"/>
        </w:rPr>
        <w:t>North America</w:t>
      </w:r>
      <w:r w:rsidRPr="00A54AB5">
        <w:rPr>
          <w:color w:val="1D3C47" w:themeColor="text1"/>
          <w:sz w:val="21"/>
          <w:szCs w:val="21"/>
        </w:rPr>
        <w:t>.</w:t>
      </w:r>
    </w:p>
    <w:p w14:paraId="01E40B64" w14:textId="77777777" w:rsidR="003A050C" w:rsidRPr="00A54AB5" w:rsidRDefault="003A050C" w:rsidP="003A050C">
      <w:pPr>
        <w:rPr>
          <w:color w:val="1D3C47" w:themeColor="text1"/>
          <w:sz w:val="21"/>
          <w:szCs w:val="21"/>
        </w:rPr>
      </w:pPr>
      <w:r w:rsidRPr="00A54AB5">
        <w:rPr>
          <w:color w:val="1D3C47" w:themeColor="text1"/>
          <w:sz w:val="21"/>
          <w:szCs w:val="21"/>
        </w:rPr>
        <w:t>The corresponding North American framework is not ready for the same application. UL/CSA 60335-2-40 contains national differences developed for North American equipment and code conditions. ASHRAE Standard 15.2, the principal installation safety standard for low-rise residential refrigeration and air-conditioning systems, does not currently establish a</w:t>
      </w:r>
      <w:r w:rsidR="00BD68E8" w:rsidRPr="00A54AB5">
        <w:rPr>
          <w:color w:val="1D3C47" w:themeColor="text1"/>
          <w:sz w:val="21"/>
          <w:szCs w:val="21"/>
        </w:rPr>
        <w:t>n installation pathway for</w:t>
      </w:r>
      <w:r w:rsidRPr="00A54AB5">
        <w:rPr>
          <w:color w:val="1D3C47" w:themeColor="text1"/>
          <w:sz w:val="21"/>
          <w:szCs w:val="21"/>
        </w:rPr>
        <w:t xml:space="preserve"> </w:t>
      </w:r>
      <w:r w:rsidR="00BD68E8" w:rsidRPr="00A54AB5">
        <w:rPr>
          <w:color w:val="1D3C47" w:themeColor="text1"/>
          <w:sz w:val="21"/>
          <w:szCs w:val="21"/>
        </w:rPr>
        <w:t>highly flammable</w:t>
      </w:r>
      <w:r w:rsidRPr="00A54AB5">
        <w:rPr>
          <w:color w:val="1D3C47" w:themeColor="text1"/>
          <w:sz w:val="21"/>
          <w:szCs w:val="21"/>
        </w:rPr>
        <w:t xml:space="preserve"> </w:t>
      </w:r>
      <w:r w:rsidR="00BD68E8" w:rsidRPr="00A54AB5">
        <w:rPr>
          <w:color w:val="1D3C47" w:themeColor="text1"/>
          <w:sz w:val="21"/>
          <w:szCs w:val="21"/>
        </w:rPr>
        <w:t>refrigerants</w:t>
      </w:r>
      <w:r w:rsidRPr="00A54AB5">
        <w:rPr>
          <w:color w:val="1D3C47" w:themeColor="text1"/>
          <w:sz w:val="21"/>
          <w:szCs w:val="21"/>
        </w:rPr>
        <w:t>. It does not provide an allowable charge, room-volume calculation, leak-detection scheme</w:t>
      </w:r>
      <w:r w:rsidR="00BD68E8" w:rsidRPr="00A54AB5">
        <w:rPr>
          <w:color w:val="1D3C47" w:themeColor="text1"/>
          <w:sz w:val="21"/>
          <w:szCs w:val="21"/>
        </w:rPr>
        <w:t>,</w:t>
      </w:r>
      <w:r w:rsidRPr="00A54AB5">
        <w:rPr>
          <w:color w:val="1D3C47" w:themeColor="text1"/>
          <w:sz w:val="21"/>
          <w:szCs w:val="21"/>
        </w:rPr>
        <w:t xml:space="preserve"> or installation exception for this use. </w:t>
      </w:r>
      <w:r w:rsidR="00BD68E8" w:rsidRPr="00A54AB5">
        <w:rPr>
          <w:color w:val="1D3C47" w:themeColor="text1"/>
          <w:sz w:val="21"/>
          <w:szCs w:val="21"/>
        </w:rPr>
        <w:t xml:space="preserve">These standards </w:t>
      </w:r>
      <w:r w:rsidR="00BD68E8" w:rsidRPr="00A54AB5">
        <w:rPr>
          <w:color w:val="1D3C47" w:themeColor="text1"/>
          <w:kern w:val="0"/>
          <w:sz w:val="21"/>
          <w:szCs w:val="21"/>
          <w14:ligatures w14:val="none"/>
        </w:rPr>
        <w:t>include provisions for mildly flammable refrigerants under the A2L classification, which are used</w:t>
      </w:r>
      <w:r w:rsidR="00BD68E8" w:rsidRPr="00A54AB5">
        <w:rPr>
          <w:color w:val="1D3C47" w:themeColor="text1"/>
          <w:sz w:val="21"/>
          <w:szCs w:val="21"/>
        </w:rPr>
        <w:t xml:space="preserve"> nationwide after more than a decade of testing</w:t>
      </w:r>
      <w:r w:rsidR="00A41DF6" w:rsidRPr="00A54AB5">
        <w:rPr>
          <w:color w:val="1D3C47" w:themeColor="text1"/>
          <w:sz w:val="21"/>
          <w:szCs w:val="21"/>
        </w:rPr>
        <w:t>,</w:t>
      </w:r>
      <w:r w:rsidR="00BD68E8" w:rsidRPr="00A54AB5">
        <w:rPr>
          <w:color w:val="1D3C47" w:themeColor="text1"/>
          <w:sz w:val="21"/>
          <w:szCs w:val="21"/>
        </w:rPr>
        <w:t xml:space="preserve"> deliberation</w:t>
      </w:r>
      <w:r w:rsidR="00A41DF6" w:rsidRPr="00A54AB5">
        <w:rPr>
          <w:color w:val="1D3C47" w:themeColor="text1"/>
          <w:sz w:val="21"/>
          <w:szCs w:val="21"/>
        </w:rPr>
        <w:t>,</w:t>
      </w:r>
      <w:r w:rsidR="00BD68E8" w:rsidRPr="00A54AB5">
        <w:rPr>
          <w:color w:val="1D3C47" w:themeColor="text1"/>
          <w:sz w:val="21"/>
          <w:szCs w:val="21"/>
        </w:rPr>
        <w:t xml:space="preserve"> and collaboration </w:t>
      </w:r>
      <w:r w:rsidR="00A41DF6" w:rsidRPr="00A54AB5">
        <w:rPr>
          <w:color w:val="1D3C47" w:themeColor="text1"/>
          <w:sz w:val="21"/>
          <w:szCs w:val="21"/>
        </w:rPr>
        <w:t>to</w:t>
      </w:r>
      <w:r w:rsidR="00BD68E8" w:rsidRPr="00A54AB5">
        <w:rPr>
          <w:color w:val="1D3C47" w:themeColor="text1"/>
          <w:sz w:val="21"/>
          <w:szCs w:val="21"/>
        </w:rPr>
        <w:t xml:space="preserve"> establish federal law </w:t>
      </w:r>
      <w:r w:rsidR="00A41DF6" w:rsidRPr="00A54AB5">
        <w:rPr>
          <w:color w:val="1D3C47" w:themeColor="text1"/>
          <w:sz w:val="21"/>
          <w:szCs w:val="21"/>
        </w:rPr>
        <w:t>requiring</w:t>
      </w:r>
      <w:r w:rsidR="00BD68E8" w:rsidRPr="00A54AB5">
        <w:rPr>
          <w:color w:val="1D3C47" w:themeColor="text1"/>
          <w:sz w:val="21"/>
          <w:szCs w:val="21"/>
        </w:rPr>
        <w:t xml:space="preserve"> a transition to more environmentally friendly refrigerants</w:t>
      </w:r>
      <w:r w:rsidRPr="00A54AB5">
        <w:rPr>
          <w:color w:val="1D3C47" w:themeColor="text1"/>
          <w:sz w:val="21"/>
          <w:szCs w:val="21"/>
        </w:rPr>
        <w:t>.</w:t>
      </w:r>
    </w:p>
    <w:p w14:paraId="2495B074" w14:textId="77777777" w:rsidR="003A050C" w:rsidRPr="00A54AB5" w:rsidRDefault="00135943" w:rsidP="003A050C">
      <w:pPr>
        <w:rPr>
          <w:color w:val="1D3C47" w:themeColor="text1"/>
          <w:sz w:val="21"/>
          <w:szCs w:val="21"/>
        </w:rPr>
      </w:pPr>
      <w:r w:rsidRPr="00A54AB5">
        <w:rPr>
          <w:color w:val="1D3C47" w:themeColor="text1"/>
          <w:sz w:val="21"/>
          <w:szCs w:val="21"/>
        </w:rPr>
        <w:t>This exception</w:t>
      </w:r>
      <w:r w:rsidR="003A050C" w:rsidRPr="00A54AB5">
        <w:rPr>
          <w:color w:val="1D3C47" w:themeColor="text1"/>
          <w:sz w:val="21"/>
          <w:szCs w:val="21"/>
        </w:rPr>
        <w:t xml:space="preserve"> therefore</w:t>
      </w:r>
      <w:r w:rsidRPr="00A54AB5">
        <w:rPr>
          <w:color w:val="1D3C47" w:themeColor="text1"/>
          <w:sz w:val="21"/>
          <w:szCs w:val="21"/>
        </w:rPr>
        <w:t xml:space="preserve"> would</w:t>
      </w:r>
      <w:r w:rsidR="003A050C" w:rsidRPr="00A54AB5">
        <w:rPr>
          <w:color w:val="1D3C47" w:themeColor="text1"/>
          <w:sz w:val="21"/>
          <w:szCs w:val="21"/>
        </w:rPr>
        <w:t xml:space="preserve"> permit a product pathway without a fully aligned U.S. installation standard. Authorit</w:t>
      </w:r>
      <w:r w:rsidR="00BD68E8" w:rsidRPr="00A54AB5">
        <w:rPr>
          <w:color w:val="1D3C47" w:themeColor="text1"/>
          <w:sz w:val="21"/>
          <w:szCs w:val="21"/>
        </w:rPr>
        <w:t>ies</w:t>
      </w:r>
      <w:r w:rsidR="003A050C" w:rsidRPr="00A54AB5">
        <w:rPr>
          <w:color w:val="1D3C47" w:themeColor="text1"/>
          <w:sz w:val="21"/>
          <w:szCs w:val="21"/>
        </w:rPr>
        <w:t xml:space="preserve"> having jurisdiction (AHJs), designers, installers</w:t>
      </w:r>
      <w:r w:rsidR="00BD68E8" w:rsidRPr="00A54AB5">
        <w:rPr>
          <w:color w:val="1D3C47" w:themeColor="text1"/>
          <w:sz w:val="21"/>
          <w:szCs w:val="21"/>
        </w:rPr>
        <w:t>,</w:t>
      </w:r>
      <w:r w:rsidR="003A050C" w:rsidRPr="00A54AB5">
        <w:rPr>
          <w:color w:val="1D3C47" w:themeColor="text1"/>
          <w:sz w:val="21"/>
          <w:szCs w:val="21"/>
        </w:rPr>
        <w:t xml:space="preserve"> and first responders would have to interpret how international product and installation requirements interact with Washington's mechanical, building</w:t>
      </w:r>
      <w:r w:rsidR="00BD68E8" w:rsidRPr="00A54AB5">
        <w:rPr>
          <w:color w:val="1D3C47" w:themeColor="text1"/>
          <w:sz w:val="21"/>
          <w:szCs w:val="21"/>
        </w:rPr>
        <w:t>,</w:t>
      </w:r>
      <w:r w:rsidR="003A050C" w:rsidRPr="00A54AB5">
        <w:rPr>
          <w:color w:val="1D3C47" w:themeColor="text1"/>
          <w:sz w:val="21"/>
          <w:szCs w:val="21"/>
        </w:rPr>
        <w:t xml:space="preserve"> and fire codes. That is not a sound foundation for deploying equipment containing a highly flammable</w:t>
      </w:r>
      <w:r w:rsidR="00A41DF6" w:rsidRPr="00A54AB5">
        <w:rPr>
          <w:color w:val="1D3C47" w:themeColor="text1"/>
          <w:sz w:val="21"/>
          <w:szCs w:val="21"/>
        </w:rPr>
        <w:t xml:space="preserve"> refrigerant</w:t>
      </w:r>
      <w:r w:rsidR="003A050C" w:rsidRPr="00A54AB5">
        <w:rPr>
          <w:color w:val="1D3C47" w:themeColor="text1"/>
          <w:sz w:val="21"/>
          <w:szCs w:val="21"/>
        </w:rPr>
        <w:t>.</w:t>
      </w:r>
    </w:p>
    <w:p w14:paraId="1D9F23AB" w14:textId="77777777" w:rsidR="00B821AD" w:rsidRPr="00A54AB5" w:rsidRDefault="00B821AD" w:rsidP="003A050C">
      <w:pPr>
        <w:rPr>
          <w:rFonts w:ascii="Sweet Sans Pro" w:hAnsi="Sweet Sans Pro" w:cs="Sweet Sans Pro"/>
          <w:b/>
          <w:bCs/>
          <w:color w:val="1D3C47" w:themeColor="text1"/>
          <w:sz w:val="21"/>
          <w:szCs w:val="21"/>
        </w:rPr>
      </w:pPr>
      <w:r w:rsidRPr="00A54AB5">
        <w:rPr>
          <w:rFonts w:ascii="Sweet Sans Pro" w:hAnsi="Sweet Sans Pro" w:cs="Sweet Sans Pro"/>
          <w:b/>
          <w:bCs/>
          <w:color w:val="1D3C47" w:themeColor="text1"/>
          <w:sz w:val="21"/>
          <w:szCs w:val="21"/>
        </w:rPr>
        <w:t xml:space="preserve">Refrigerant </w:t>
      </w:r>
      <w:r w:rsidR="00485756" w:rsidRPr="00A54AB5">
        <w:rPr>
          <w:rFonts w:ascii="Sweet Sans Pro" w:hAnsi="Sweet Sans Pro" w:cs="Sweet Sans Pro"/>
          <w:b/>
          <w:bCs/>
          <w:color w:val="1D3C47" w:themeColor="text1"/>
          <w:sz w:val="21"/>
          <w:szCs w:val="21"/>
        </w:rPr>
        <w:t>C</w:t>
      </w:r>
      <w:r w:rsidRPr="00A54AB5">
        <w:rPr>
          <w:rFonts w:ascii="Sweet Sans Pro" w:hAnsi="Sweet Sans Pro" w:cs="Sweet Sans Pro"/>
          <w:b/>
          <w:bCs/>
          <w:color w:val="1D3C47" w:themeColor="text1"/>
          <w:sz w:val="21"/>
          <w:szCs w:val="21"/>
        </w:rPr>
        <w:t xml:space="preserve">harge and </w:t>
      </w:r>
      <w:r w:rsidR="00485756" w:rsidRPr="00A54AB5">
        <w:rPr>
          <w:rFonts w:ascii="Sweet Sans Pro" w:hAnsi="Sweet Sans Pro" w:cs="Sweet Sans Pro"/>
          <w:b/>
          <w:bCs/>
          <w:color w:val="1D3C47" w:themeColor="text1"/>
          <w:sz w:val="21"/>
          <w:szCs w:val="21"/>
        </w:rPr>
        <w:t>S</w:t>
      </w:r>
      <w:r w:rsidRPr="00A54AB5">
        <w:rPr>
          <w:rFonts w:ascii="Sweet Sans Pro" w:hAnsi="Sweet Sans Pro" w:cs="Sweet Sans Pro"/>
          <w:b/>
          <w:bCs/>
          <w:color w:val="1D3C47" w:themeColor="text1"/>
          <w:sz w:val="21"/>
          <w:szCs w:val="21"/>
        </w:rPr>
        <w:t xml:space="preserve">tandards </w:t>
      </w:r>
      <w:r w:rsidR="00485756" w:rsidRPr="00A54AB5">
        <w:rPr>
          <w:rFonts w:ascii="Sweet Sans Pro" w:hAnsi="Sweet Sans Pro" w:cs="Sweet Sans Pro"/>
          <w:b/>
          <w:bCs/>
          <w:color w:val="1D3C47" w:themeColor="text1"/>
          <w:sz w:val="21"/>
          <w:szCs w:val="21"/>
        </w:rPr>
        <w:t>A</w:t>
      </w:r>
      <w:r w:rsidRPr="00A54AB5">
        <w:rPr>
          <w:rFonts w:ascii="Sweet Sans Pro" w:hAnsi="Sweet Sans Pro" w:cs="Sweet Sans Pro"/>
          <w:b/>
          <w:bCs/>
          <w:color w:val="1D3C47" w:themeColor="text1"/>
          <w:sz w:val="21"/>
          <w:szCs w:val="21"/>
        </w:rPr>
        <w:t>lignment</w:t>
      </w:r>
    </w:p>
    <w:p w14:paraId="3B0F800E" w14:textId="75762398" w:rsidR="00397815" w:rsidRPr="00A54AB5" w:rsidRDefault="00B821AD" w:rsidP="003A050C">
      <w:pPr>
        <w:rPr>
          <w:color w:val="1D3C47" w:themeColor="text1"/>
          <w:sz w:val="21"/>
          <w:szCs w:val="21"/>
        </w:rPr>
      </w:pPr>
      <w:r w:rsidRPr="00A54AB5">
        <w:rPr>
          <w:color w:val="1D3C47" w:themeColor="text1"/>
          <w:sz w:val="21"/>
          <w:szCs w:val="21"/>
        </w:rPr>
        <w:t>The North American UL/CSA 60335-2-40 product safety standard generally limits a</w:t>
      </w:r>
      <w:r w:rsidR="00BD68E8" w:rsidRPr="00A54AB5">
        <w:rPr>
          <w:color w:val="1D3C47" w:themeColor="text1"/>
          <w:sz w:val="21"/>
          <w:szCs w:val="21"/>
        </w:rPr>
        <w:t xml:space="preserve"> highly flammable </w:t>
      </w:r>
      <w:r w:rsidRPr="00A54AB5">
        <w:rPr>
          <w:color w:val="1D3C47" w:themeColor="text1"/>
          <w:sz w:val="21"/>
          <w:szCs w:val="21"/>
        </w:rPr>
        <w:t xml:space="preserve">refrigerant such as </w:t>
      </w:r>
      <w:r w:rsidR="00BD68E8" w:rsidRPr="00A54AB5">
        <w:rPr>
          <w:color w:val="1D3C47" w:themeColor="text1"/>
          <w:sz w:val="21"/>
          <w:szCs w:val="21"/>
        </w:rPr>
        <w:t>propane (</w:t>
      </w:r>
      <w:r w:rsidRPr="00A54AB5">
        <w:rPr>
          <w:color w:val="1D3C47" w:themeColor="text1"/>
          <w:sz w:val="21"/>
          <w:szCs w:val="21"/>
        </w:rPr>
        <w:t>R-290</w:t>
      </w:r>
      <w:r w:rsidR="00BD68E8" w:rsidRPr="00A54AB5">
        <w:rPr>
          <w:color w:val="1D3C47" w:themeColor="text1"/>
          <w:sz w:val="21"/>
          <w:szCs w:val="21"/>
        </w:rPr>
        <w:t>)</w:t>
      </w:r>
      <w:r w:rsidRPr="00A54AB5">
        <w:rPr>
          <w:color w:val="1D3C47" w:themeColor="text1"/>
          <w:sz w:val="21"/>
          <w:szCs w:val="21"/>
        </w:rPr>
        <w:t xml:space="preserve"> to approximately 114 grams, or 0.25 pound</w:t>
      </w:r>
      <w:r w:rsidR="00BD68E8" w:rsidRPr="00A54AB5">
        <w:rPr>
          <w:color w:val="1D3C47" w:themeColor="text1"/>
          <w:sz w:val="21"/>
          <w:szCs w:val="21"/>
        </w:rPr>
        <w:t>s.</w:t>
      </w:r>
      <w:r w:rsidR="00485756" w:rsidRPr="00A54AB5">
        <w:rPr>
          <w:rStyle w:val="FootnoteReference"/>
          <w:color w:val="1D3C47" w:themeColor="text1"/>
          <w:sz w:val="21"/>
          <w:szCs w:val="21"/>
        </w:rPr>
        <w:footnoteReference w:id="3"/>
      </w:r>
      <w:r w:rsidRPr="00A54AB5">
        <w:rPr>
          <w:color w:val="1D3C47" w:themeColor="text1"/>
          <w:sz w:val="21"/>
          <w:szCs w:val="21"/>
        </w:rPr>
        <w:t xml:space="preserve"> ASHRAE Standard 15.2, the corresponding installation safety standard for low-rise residential systems, does not currently provide an installation pathway for A3 refrigerants</w:t>
      </w:r>
      <w:r w:rsidR="00BD68E8" w:rsidRPr="00A54AB5">
        <w:rPr>
          <w:color w:val="1D3C47" w:themeColor="text1"/>
          <w:sz w:val="21"/>
          <w:szCs w:val="21"/>
        </w:rPr>
        <w:t>.</w:t>
      </w:r>
      <w:r w:rsidR="00485756" w:rsidRPr="00A54AB5">
        <w:rPr>
          <w:rStyle w:val="FootnoteReference"/>
          <w:color w:val="1D3C47" w:themeColor="text1"/>
          <w:sz w:val="21"/>
          <w:szCs w:val="21"/>
        </w:rPr>
        <w:footnoteReference w:id="4"/>
      </w:r>
      <w:r w:rsidRPr="00A54AB5">
        <w:rPr>
          <w:color w:val="1D3C47" w:themeColor="text1"/>
          <w:sz w:val="21"/>
          <w:szCs w:val="21"/>
        </w:rPr>
        <w:t xml:space="preserve"> By comparison, IEC 60335-2-40 can permit as much as 4.94 kilograms, or 10.9 pounds, of R-290 per circuit.</w:t>
      </w:r>
      <w:r w:rsidR="007C5CF4" w:rsidRPr="00A54AB5">
        <w:rPr>
          <w:color w:val="1D3C47" w:themeColor="text1"/>
          <w:sz w:val="21"/>
          <w:szCs w:val="21"/>
        </w:rPr>
        <w:t xml:space="preserve"> The IEC threshold is more than 40 times higher than the current North American allowance.</w:t>
      </w:r>
      <w:r w:rsidRPr="00A54AB5">
        <w:rPr>
          <w:color w:val="1D3C47" w:themeColor="text1"/>
          <w:sz w:val="21"/>
          <w:szCs w:val="21"/>
        </w:rPr>
        <w:t xml:space="preserve"> </w:t>
      </w:r>
      <w:r w:rsidR="007C5CF4" w:rsidRPr="00A54AB5">
        <w:rPr>
          <w:color w:val="1D3C47" w:themeColor="text1"/>
          <w:sz w:val="21"/>
          <w:szCs w:val="21"/>
        </w:rPr>
        <w:t xml:space="preserve">Part of the reason for this difference is the difference in equipment styles between the two regions. North America primarily uses centrally ducted direct expansion systems, meaning the refrigerant circuit connects the indoor and outdoor units to add or remove heat from the building. European-style monoblock systems keep the refrigerant outdoors and use a secondary water loop connected to a </w:t>
      </w:r>
      <w:r w:rsidR="007C5CF4" w:rsidRPr="00A54AB5">
        <w:rPr>
          <w:color w:val="1D3C47" w:themeColor="text1"/>
          <w:sz w:val="21"/>
          <w:szCs w:val="21"/>
        </w:rPr>
        <w:lastRenderedPageBreak/>
        <w:t>heat exchanger or radiator system. Using safety standards meant for different design characteristics creates an unacceptable misalignment.</w:t>
      </w:r>
    </w:p>
    <w:p w14:paraId="274B4E9C" w14:textId="33C96F44" w:rsidR="009A4641" w:rsidRPr="00A54AB5" w:rsidRDefault="009A4641" w:rsidP="009A4641">
      <w:pPr>
        <w:rPr>
          <w:rFonts w:ascii="Sweet Sans Pro" w:hAnsi="Sweet Sans Pro" w:cs="Sweet Sans Pro"/>
          <w:b/>
          <w:bCs/>
          <w:color w:val="1D3C47" w:themeColor="text1"/>
          <w:sz w:val="21"/>
          <w:szCs w:val="21"/>
        </w:rPr>
      </w:pPr>
      <w:r w:rsidRPr="00A54AB5">
        <w:rPr>
          <w:rFonts w:ascii="Sweet Sans Pro" w:hAnsi="Sweet Sans Pro" w:cs="Sweet Sans Pro"/>
          <w:b/>
          <w:bCs/>
          <w:color w:val="1D3C47" w:themeColor="text1"/>
          <w:sz w:val="21"/>
          <w:szCs w:val="21"/>
        </w:rPr>
        <w:t xml:space="preserve">EPA Significant New Alternatives Policy (SNAP) </w:t>
      </w:r>
    </w:p>
    <w:p w14:paraId="6E0422F0" w14:textId="2CCF00EC" w:rsidR="009A4641" w:rsidRPr="00A54AB5" w:rsidRDefault="009A4641" w:rsidP="009A4641">
      <w:pPr>
        <w:rPr>
          <w:color w:val="1D3C47" w:themeColor="text1"/>
          <w:sz w:val="21"/>
          <w:szCs w:val="21"/>
        </w:rPr>
      </w:pPr>
      <w:r w:rsidRPr="00A54AB5">
        <w:rPr>
          <w:color w:val="1D3C47" w:themeColor="text1"/>
          <w:sz w:val="21"/>
          <w:szCs w:val="21"/>
        </w:rPr>
        <w:t xml:space="preserve">As established by the Clean Air Act of 1990, all new refrigerants must be approved by the U.S. Environmental Protection Agency’s (EPA) Significant New Alternatives Policy (SNAP) Program before they may be used in HVACR equipment. The transition to A2L refrigerants has relied heavily upon the program’s approval of substitutes, which uses a comparative risk framework to evaluate new alternatives and considers Ozone depletion potential (ODP), Global warming potential (GWP), Toxicity, Flammability, Occupational and consumer health/safety, Local air quality, and Ecosystem effects. At present, EPA has only listed A3 refrigerants as acceptable </w:t>
      </w:r>
      <w:r w:rsidR="00FD484A" w:rsidRPr="00A54AB5">
        <w:rPr>
          <w:color w:val="1D3C47" w:themeColor="text1"/>
          <w:sz w:val="21"/>
          <w:szCs w:val="21"/>
        </w:rPr>
        <w:t>limited end</w:t>
      </w:r>
      <w:r w:rsidRPr="00A54AB5">
        <w:rPr>
          <w:color w:val="1D3C47" w:themeColor="text1"/>
          <w:sz w:val="21"/>
          <w:szCs w:val="21"/>
        </w:rPr>
        <w:t xml:space="preserve"> uses, primarily certain commercial refrigeration and self-contained equipment, restricting their use for most residential and light commercial air conditioning and heat pump applications.</w:t>
      </w:r>
      <w:r w:rsidRPr="00A54AB5">
        <w:rPr>
          <w:rStyle w:val="FootnoteReference"/>
          <w:color w:val="1D3C47" w:themeColor="text1"/>
          <w:sz w:val="21"/>
          <w:szCs w:val="21"/>
        </w:rPr>
        <w:footnoteReference w:id="5"/>
      </w:r>
      <w:r w:rsidR="00A72D4F" w:rsidRPr="00A54AB5">
        <w:rPr>
          <w:color w:val="1D3C47" w:themeColor="text1"/>
          <w:sz w:val="21"/>
          <w:szCs w:val="21"/>
        </w:rPr>
        <w:t xml:space="preserve"> </w:t>
      </w:r>
      <w:r w:rsidRPr="00A54AB5">
        <w:rPr>
          <w:i/>
          <w:iCs/>
          <w:color w:val="1D3C47" w:themeColor="text1"/>
          <w:sz w:val="21"/>
          <w:szCs w:val="21"/>
        </w:rPr>
        <w:t>Absent these foundational approvals, manufacturers cannot lawfully deploy A3 refrigerants in many HVACR subsectors.</w:t>
      </w:r>
      <w:r w:rsidRPr="00A54AB5">
        <w:rPr>
          <w:color w:val="1D3C47" w:themeColor="text1"/>
          <w:sz w:val="21"/>
          <w:szCs w:val="21"/>
        </w:rPr>
        <w:t xml:space="preserve"> Further, SNAP typically establishes use conditions for flammable refrigerants, requiring compliance with UL 60335-2-40 and for relevant end-uses, ASHRAE 15, in many of their current listings. Referencing the IEC 60335-2-40 safety standard as a way to avoid A3 restrictions fails to consider the existing federal regulatory requirement to comply with UL 60335-2-40. </w:t>
      </w:r>
    </w:p>
    <w:p w14:paraId="45895D60" w14:textId="04E156B9" w:rsidR="009A4641" w:rsidRPr="00A54AB5" w:rsidRDefault="009A4641" w:rsidP="009A4641">
      <w:pPr>
        <w:rPr>
          <w:color w:val="1D3C47" w:themeColor="text1"/>
          <w:sz w:val="21"/>
          <w:szCs w:val="21"/>
        </w:rPr>
      </w:pPr>
      <w:r w:rsidRPr="00A54AB5">
        <w:rPr>
          <w:color w:val="1D3C47" w:themeColor="text1"/>
          <w:sz w:val="21"/>
          <w:szCs w:val="21"/>
        </w:rPr>
        <w:t>SNAP listing requirements and use conditions apply nationally, regardless of local building codes or safety standards. Building codes are unable to circumvent federal requirements by adopting contradictory safety standards—doing so would only generate confusion with real risks to public safety. Updates to UL 60335-2-40 requirements and subsequent SNAP approval will both be necessary to lawfully expand the use of A3 refrigerants in the U.S.</w:t>
      </w:r>
    </w:p>
    <w:p w14:paraId="0575F263" w14:textId="4FECABD8" w:rsidR="00A41DF6" w:rsidRPr="00A54AB5" w:rsidRDefault="00EE5349" w:rsidP="003A050C">
      <w:pPr>
        <w:rPr>
          <w:rFonts w:ascii="Sweet Sans Pro" w:hAnsi="Sweet Sans Pro" w:cs="Sweet Sans Pro"/>
          <w:b/>
          <w:bCs/>
          <w:color w:val="1D3C47" w:themeColor="text1"/>
          <w:sz w:val="21"/>
          <w:szCs w:val="21"/>
        </w:rPr>
      </w:pPr>
      <w:r w:rsidRPr="00A54AB5">
        <w:rPr>
          <w:rFonts w:ascii="Sweet Sans Pro" w:hAnsi="Sweet Sans Pro" w:cs="Sweet Sans Pro"/>
          <w:b/>
          <w:bCs/>
          <w:color w:val="1D3C47" w:themeColor="text1"/>
          <w:sz w:val="21"/>
          <w:szCs w:val="21"/>
        </w:rPr>
        <w:t>2S</w:t>
      </w:r>
      <w:r w:rsidR="00A41DF6" w:rsidRPr="00A54AB5">
        <w:rPr>
          <w:rFonts w:ascii="Sweet Sans Pro" w:hAnsi="Sweet Sans Pro" w:cs="Sweet Sans Pro"/>
          <w:b/>
          <w:bCs/>
          <w:color w:val="1D3C47" w:themeColor="text1"/>
          <w:sz w:val="21"/>
          <w:szCs w:val="21"/>
        </w:rPr>
        <w:t>HB 1462 Established the Process Washington Should Follow</w:t>
      </w:r>
    </w:p>
    <w:p w14:paraId="18E06582" w14:textId="0827E18B" w:rsidR="00A41DF6" w:rsidRPr="00A54AB5" w:rsidRDefault="00A41DF6" w:rsidP="003A050C">
      <w:pPr>
        <w:rPr>
          <w:rFonts w:ascii="Sweet Sans Pro" w:hAnsi="Sweet Sans Pro" w:cs="Sweet Sans Pro"/>
          <w:b/>
          <w:bCs/>
          <w:color w:val="1D3C47" w:themeColor="text1"/>
          <w:sz w:val="21"/>
          <w:szCs w:val="21"/>
        </w:rPr>
      </w:pPr>
      <w:r w:rsidRPr="00A54AB5">
        <w:rPr>
          <w:color w:val="1D3C47" w:themeColor="text1"/>
          <w:sz w:val="21"/>
          <w:szCs w:val="21"/>
        </w:rPr>
        <w:t xml:space="preserve">The Legislature addressed this transition directly in 2025 through </w:t>
      </w:r>
      <w:r w:rsidR="00EE5349" w:rsidRPr="00A54AB5">
        <w:rPr>
          <w:color w:val="1D3C47" w:themeColor="text1"/>
          <w:sz w:val="21"/>
          <w:szCs w:val="21"/>
        </w:rPr>
        <w:t>2S</w:t>
      </w:r>
      <w:r w:rsidRPr="00A54AB5">
        <w:rPr>
          <w:color w:val="1D3C47" w:themeColor="text1"/>
          <w:sz w:val="21"/>
          <w:szCs w:val="21"/>
        </w:rPr>
        <w:t>HB 1462. That law built on Washington's existing refrigerant management program and earlier legislation moving the state away from HFCs and other higher-GWP refrigerants. It also directed the Department of Ecology to convene a Refrigerant Transition Task Force to study the opportunities and barriers involved in moving to low- and ultra-low-GWP refrigerants, including the equipment-specific timelines needed to do so safely and practically.</w:t>
      </w:r>
      <w:r w:rsidR="002149DF" w:rsidRPr="00A54AB5">
        <w:rPr>
          <w:rStyle w:val="FootnoteReference"/>
          <w:color w:val="1D3C47" w:themeColor="text1"/>
          <w:sz w:val="21"/>
          <w:szCs w:val="21"/>
        </w:rPr>
        <w:footnoteReference w:id="6"/>
      </w:r>
      <w:r w:rsidRPr="00A54AB5">
        <w:rPr>
          <w:color w:val="1D3C47" w:themeColor="text1"/>
          <w:sz w:val="21"/>
          <w:szCs w:val="21"/>
        </w:rPr>
        <w:t xml:space="preserve"> The task force has now begun its work, and its charge encompasses the applications in which highly flammable A3 refrigerants may be considered.</w:t>
      </w:r>
    </w:p>
    <w:p w14:paraId="73A2DFC6" w14:textId="77777777" w:rsidR="00E564C7" w:rsidRPr="00A54AB5" w:rsidRDefault="007F6CF1">
      <w:pPr>
        <w:rPr>
          <w:rFonts w:ascii="Sweet Sans Pro" w:hAnsi="Sweet Sans Pro" w:cs="Sweet Sans Pro"/>
          <w:b/>
          <w:bCs/>
          <w:color w:val="1D3C47" w:themeColor="text1"/>
          <w:sz w:val="21"/>
          <w:szCs w:val="21"/>
        </w:rPr>
      </w:pPr>
      <w:r w:rsidRPr="00A54AB5">
        <w:rPr>
          <w:color w:val="1D3C47" w:themeColor="text1"/>
          <w:sz w:val="21"/>
          <w:szCs w:val="21"/>
        </w:rPr>
        <w:t>The Legislature deliberately included a representative of the State Building Code Council with expertise in fire safety on the task force. That appointment gives the Council a voice in the process and ensures that building-code, fire, and life-safety questions can be addressed alongside product availability, workforce training, recovery and reclamation, and other implementation issues. The task force must release a draft report for at least 60 days of public comment beginning no later than June 1, 2027, and submit its final report to the Legislature by December 1, 2027.</w:t>
      </w:r>
    </w:p>
    <w:p w14:paraId="4A6FADEF" w14:textId="0CAAAED1" w:rsidR="00E564C7" w:rsidRPr="00A54AB5" w:rsidRDefault="007F6CF1">
      <w:pPr>
        <w:rPr>
          <w:rFonts w:ascii="Sweet Sans Pro" w:hAnsi="Sweet Sans Pro" w:cs="Sweet Sans Pro"/>
          <w:b/>
          <w:bCs/>
          <w:color w:val="1D3C47" w:themeColor="text1"/>
          <w:sz w:val="21"/>
          <w:szCs w:val="21"/>
        </w:rPr>
      </w:pPr>
      <w:r w:rsidRPr="00A54AB5">
        <w:rPr>
          <w:color w:val="1D3C47" w:themeColor="text1"/>
          <w:sz w:val="21"/>
          <w:szCs w:val="21"/>
        </w:rPr>
        <w:t xml:space="preserve">That schedule matters here. Ecology must use the task force's work and report to inform any rules requiring low- or ultra-low-GWP alternatives, and it may not issue a proposed rule for that transition before January 1, 2028. The statutory goal is an orderly, sector-specific transition by 2035. This timeline gives Washington ample opportunity to consider expanded use of A3 refrigerants in the next building-code cycle, after the task force has evaluated the safety and implementation framework. The SBCC should not preempt that work by creating an exception today. The policy </w:t>
      </w:r>
      <w:r w:rsidRPr="00A54AB5">
        <w:rPr>
          <w:color w:val="1D3C47" w:themeColor="text1"/>
          <w:sz w:val="21"/>
          <w:szCs w:val="21"/>
        </w:rPr>
        <w:lastRenderedPageBreak/>
        <w:t>direction enacted by the Legislature, and the coordinated process it assigned to Ecology, should guide the Council's action.</w:t>
      </w:r>
      <w:r w:rsidR="002149DF" w:rsidRPr="00A54AB5">
        <w:rPr>
          <w:rStyle w:val="FootnoteReference"/>
          <w:color w:val="1D3C47" w:themeColor="text1"/>
          <w:sz w:val="21"/>
          <w:szCs w:val="21"/>
        </w:rPr>
        <w:footnoteReference w:id="7"/>
      </w:r>
      <w:r w:rsidRPr="00A54AB5">
        <w:rPr>
          <w:color w:val="1D3C47" w:themeColor="text1"/>
          <w:sz w:val="21"/>
          <w:szCs w:val="21"/>
        </w:rPr>
        <w:t xml:space="preserve"> </w:t>
      </w:r>
    </w:p>
    <w:p w14:paraId="39707F2B" w14:textId="5CAE6AB5" w:rsidR="003A050C" w:rsidRPr="00A54AB5" w:rsidRDefault="003A050C" w:rsidP="003A050C">
      <w:pPr>
        <w:rPr>
          <w:rFonts w:ascii="Sweet Sans Pro" w:hAnsi="Sweet Sans Pro" w:cs="Sweet Sans Pro"/>
          <w:b/>
          <w:bCs/>
          <w:color w:val="1D3C47" w:themeColor="text1"/>
          <w:sz w:val="21"/>
          <w:szCs w:val="21"/>
        </w:rPr>
      </w:pPr>
      <w:r w:rsidRPr="00A54AB5">
        <w:rPr>
          <w:rFonts w:ascii="Sweet Sans Pro" w:hAnsi="Sweet Sans Pro" w:cs="Sweet Sans Pro"/>
          <w:b/>
          <w:bCs/>
          <w:color w:val="1D3C47" w:themeColor="text1"/>
          <w:sz w:val="21"/>
          <w:szCs w:val="21"/>
        </w:rPr>
        <w:t xml:space="preserve">Legislature </w:t>
      </w:r>
      <w:r w:rsidR="0027748D" w:rsidRPr="00A54AB5">
        <w:rPr>
          <w:rFonts w:ascii="Sweet Sans Pro" w:hAnsi="Sweet Sans Pro" w:cs="Sweet Sans Pro"/>
          <w:b/>
          <w:bCs/>
          <w:color w:val="1D3C47" w:themeColor="text1"/>
          <w:sz w:val="21"/>
          <w:szCs w:val="21"/>
        </w:rPr>
        <w:t>H</w:t>
      </w:r>
      <w:r w:rsidRPr="00A54AB5">
        <w:rPr>
          <w:rFonts w:ascii="Sweet Sans Pro" w:hAnsi="Sweet Sans Pro" w:cs="Sweet Sans Pro"/>
          <w:b/>
          <w:bCs/>
          <w:color w:val="1D3C47" w:themeColor="text1"/>
          <w:sz w:val="21"/>
          <w:szCs w:val="21"/>
        </w:rPr>
        <w:t xml:space="preserve">as </w:t>
      </w:r>
      <w:r w:rsidR="0027748D" w:rsidRPr="00A54AB5">
        <w:rPr>
          <w:rFonts w:ascii="Sweet Sans Pro" w:hAnsi="Sweet Sans Pro" w:cs="Sweet Sans Pro"/>
          <w:b/>
          <w:bCs/>
          <w:color w:val="1D3C47" w:themeColor="text1"/>
          <w:sz w:val="21"/>
          <w:szCs w:val="21"/>
        </w:rPr>
        <w:t>a</w:t>
      </w:r>
      <w:r w:rsidRPr="00A54AB5">
        <w:rPr>
          <w:rFonts w:ascii="Sweet Sans Pro" w:hAnsi="Sweet Sans Pro" w:cs="Sweet Sans Pro"/>
          <w:b/>
          <w:bCs/>
          <w:color w:val="1D3C47" w:themeColor="text1"/>
          <w:sz w:val="21"/>
          <w:szCs w:val="21"/>
        </w:rPr>
        <w:t xml:space="preserve"> </w:t>
      </w:r>
      <w:r w:rsidR="0027748D" w:rsidRPr="00A54AB5">
        <w:rPr>
          <w:rFonts w:ascii="Sweet Sans Pro" w:hAnsi="Sweet Sans Pro" w:cs="Sweet Sans Pro"/>
          <w:b/>
          <w:bCs/>
          <w:color w:val="1D3C47" w:themeColor="text1"/>
          <w:sz w:val="21"/>
          <w:szCs w:val="21"/>
        </w:rPr>
        <w:t>D</w:t>
      </w:r>
      <w:r w:rsidRPr="00A54AB5">
        <w:rPr>
          <w:rFonts w:ascii="Sweet Sans Pro" w:hAnsi="Sweet Sans Pro" w:cs="Sweet Sans Pro"/>
          <w:b/>
          <w:bCs/>
          <w:color w:val="1D3C47" w:themeColor="text1"/>
          <w:sz w:val="21"/>
          <w:szCs w:val="21"/>
        </w:rPr>
        <w:t>irect</w:t>
      </w:r>
      <w:r w:rsidR="00A41DF6" w:rsidRPr="00A54AB5">
        <w:rPr>
          <w:rFonts w:ascii="Sweet Sans Pro" w:hAnsi="Sweet Sans Pro" w:cs="Sweet Sans Pro"/>
          <w:b/>
          <w:bCs/>
          <w:color w:val="1D3C47" w:themeColor="text1"/>
          <w:sz w:val="21"/>
          <w:szCs w:val="21"/>
        </w:rPr>
        <w:t xml:space="preserve"> </w:t>
      </w:r>
      <w:r w:rsidR="0027748D" w:rsidRPr="00A54AB5">
        <w:rPr>
          <w:rFonts w:ascii="Sweet Sans Pro" w:hAnsi="Sweet Sans Pro" w:cs="Sweet Sans Pro"/>
          <w:b/>
          <w:bCs/>
          <w:color w:val="1D3C47" w:themeColor="text1"/>
          <w:sz w:val="21"/>
          <w:szCs w:val="21"/>
        </w:rPr>
        <w:t>O</w:t>
      </w:r>
      <w:r w:rsidR="00A41DF6" w:rsidRPr="00A54AB5">
        <w:rPr>
          <w:rFonts w:ascii="Sweet Sans Pro" w:hAnsi="Sweet Sans Pro" w:cs="Sweet Sans Pro"/>
          <w:b/>
          <w:bCs/>
          <w:color w:val="1D3C47" w:themeColor="text1"/>
          <w:sz w:val="21"/>
          <w:szCs w:val="21"/>
        </w:rPr>
        <w:t>versight</w:t>
      </w:r>
      <w:r w:rsidRPr="00A54AB5">
        <w:rPr>
          <w:rFonts w:ascii="Sweet Sans Pro" w:hAnsi="Sweet Sans Pro" w:cs="Sweet Sans Pro"/>
          <w:b/>
          <w:bCs/>
          <w:color w:val="1D3C47" w:themeColor="text1"/>
          <w:sz w:val="21"/>
          <w:szCs w:val="21"/>
        </w:rPr>
        <w:t xml:space="preserve"> </w:t>
      </w:r>
      <w:r w:rsidR="0027748D" w:rsidRPr="00A54AB5">
        <w:rPr>
          <w:rFonts w:ascii="Sweet Sans Pro" w:hAnsi="Sweet Sans Pro" w:cs="Sweet Sans Pro"/>
          <w:b/>
          <w:bCs/>
          <w:color w:val="1D3C47" w:themeColor="text1"/>
          <w:sz w:val="21"/>
          <w:szCs w:val="21"/>
        </w:rPr>
        <w:t>R</w:t>
      </w:r>
      <w:r w:rsidRPr="00A54AB5">
        <w:rPr>
          <w:rFonts w:ascii="Sweet Sans Pro" w:hAnsi="Sweet Sans Pro" w:cs="Sweet Sans Pro"/>
          <w:b/>
          <w:bCs/>
          <w:color w:val="1D3C47" w:themeColor="text1"/>
          <w:sz w:val="21"/>
          <w:szCs w:val="21"/>
        </w:rPr>
        <w:t>ole</w:t>
      </w:r>
    </w:p>
    <w:p w14:paraId="2BCB6A31" w14:textId="77777777" w:rsidR="003A050C" w:rsidRPr="00A54AB5" w:rsidRDefault="003A050C" w:rsidP="003A050C">
      <w:pPr>
        <w:rPr>
          <w:color w:val="1D3C47" w:themeColor="text1"/>
          <w:sz w:val="21"/>
          <w:szCs w:val="21"/>
        </w:rPr>
      </w:pPr>
      <w:r w:rsidRPr="00A54AB5">
        <w:rPr>
          <w:color w:val="1D3C47" w:themeColor="text1"/>
          <w:sz w:val="21"/>
          <w:szCs w:val="21"/>
        </w:rPr>
        <w:t>The SBCC exercises rulemaking authority delegated by the Washington Legislature. Under RCW 19.27.074, statewide code changes adopted through the three-year cycle cannot take effect before the end of the next regular legislative session. The Legislature therefore has both a clear interest and an opportunity to ensure that a consequential safety provision does not advance without a complete implementation framework.</w:t>
      </w:r>
    </w:p>
    <w:p w14:paraId="7FB7378C" w14:textId="77777777" w:rsidR="009A4641" w:rsidRPr="00A54AB5" w:rsidRDefault="003A050C" w:rsidP="003A050C">
      <w:pPr>
        <w:rPr>
          <w:color w:val="1D3C47" w:themeColor="text1"/>
          <w:sz w:val="21"/>
          <w:szCs w:val="21"/>
        </w:rPr>
      </w:pPr>
      <w:r w:rsidRPr="00A54AB5">
        <w:rPr>
          <w:color w:val="1D3C47" w:themeColor="text1"/>
          <w:sz w:val="21"/>
          <w:szCs w:val="21"/>
        </w:rPr>
        <w:t>Washington can revisit A3 residential equipment when nationally recognized U.S. product and installation standards are aligned; listed products are available for the North American market; fire-code storage requirements are understood</w:t>
      </w:r>
      <w:r w:rsidR="00A41DF6" w:rsidRPr="00A54AB5">
        <w:rPr>
          <w:color w:val="1D3C47" w:themeColor="text1"/>
          <w:sz w:val="21"/>
          <w:szCs w:val="21"/>
        </w:rPr>
        <w:t xml:space="preserve">, </w:t>
      </w:r>
      <w:r w:rsidRPr="00A54AB5">
        <w:rPr>
          <w:color w:val="1D3C47" w:themeColor="text1"/>
          <w:sz w:val="21"/>
          <w:szCs w:val="21"/>
        </w:rPr>
        <w:t>and manufacturers, distributors, contractors, AHJs</w:t>
      </w:r>
      <w:r w:rsidR="00A41DF6" w:rsidRPr="00A54AB5">
        <w:rPr>
          <w:color w:val="1D3C47" w:themeColor="text1"/>
          <w:sz w:val="21"/>
          <w:szCs w:val="21"/>
        </w:rPr>
        <w:t>,</w:t>
      </w:r>
      <w:r w:rsidRPr="00A54AB5">
        <w:rPr>
          <w:color w:val="1D3C47" w:themeColor="text1"/>
          <w:sz w:val="21"/>
          <w:szCs w:val="21"/>
        </w:rPr>
        <w:t xml:space="preserve"> and first responders have adequate guidance and training. Those conditions do not exist today.</w:t>
      </w:r>
    </w:p>
    <w:p w14:paraId="1377D1C2" w14:textId="3C28AE65" w:rsidR="003A050C" w:rsidRPr="00A54AB5" w:rsidRDefault="003A050C" w:rsidP="003A050C">
      <w:pPr>
        <w:rPr>
          <w:color w:val="1D3C47" w:themeColor="text1"/>
          <w:sz w:val="21"/>
          <w:szCs w:val="21"/>
        </w:rPr>
      </w:pPr>
      <w:r w:rsidRPr="00A54AB5">
        <w:rPr>
          <w:rFonts w:ascii="Sweet Sans Pro" w:hAnsi="Sweet Sans Pro" w:cs="Sweet Sans Pro"/>
          <w:b/>
          <w:bCs/>
          <w:color w:val="1D3C47" w:themeColor="text1"/>
          <w:sz w:val="21"/>
          <w:szCs w:val="21"/>
        </w:rPr>
        <w:t>Requested action</w:t>
      </w:r>
    </w:p>
    <w:p w14:paraId="76B6B858" w14:textId="25D06F4C" w:rsidR="003A050C" w:rsidRPr="00A54AB5" w:rsidRDefault="009F3FA3" w:rsidP="003A050C">
      <w:pPr>
        <w:rPr>
          <w:color w:val="1D3C47" w:themeColor="text1"/>
          <w:sz w:val="21"/>
          <w:szCs w:val="21"/>
        </w:rPr>
      </w:pPr>
      <w:r w:rsidRPr="00A54AB5">
        <w:rPr>
          <w:color w:val="1D3C47" w:themeColor="text1"/>
          <w:sz w:val="21"/>
          <w:szCs w:val="21"/>
        </w:rPr>
        <w:t>We</w:t>
      </w:r>
      <w:r w:rsidR="003A050C" w:rsidRPr="00A54AB5">
        <w:rPr>
          <w:color w:val="1D3C47" w:themeColor="text1"/>
          <w:sz w:val="21"/>
          <w:szCs w:val="21"/>
        </w:rPr>
        <w:t xml:space="preserve"> respectfully ask the Governor and Legislature to </w:t>
      </w:r>
      <w:r w:rsidR="00E26A3F" w:rsidRPr="00A54AB5">
        <w:rPr>
          <w:color w:val="1D3C47" w:themeColor="text1"/>
          <w:sz w:val="21"/>
          <w:szCs w:val="21"/>
        </w:rPr>
        <w:t xml:space="preserve">direct the SBCC to refrain from filing </w:t>
      </w:r>
      <w:r w:rsidR="007C1A34" w:rsidRPr="00A54AB5">
        <w:rPr>
          <w:color w:val="1D3C47" w:themeColor="text1"/>
          <w:sz w:val="21"/>
          <w:szCs w:val="21"/>
        </w:rPr>
        <w:t xml:space="preserve">the final rule adopting the 2024 Washington State Mechanical Code </w:t>
      </w:r>
      <w:r w:rsidR="00E26A3F" w:rsidRPr="00A54AB5">
        <w:rPr>
          <w:color w:val="1D3C47" w:themeColor="text1"/>
          <w:sz w:val="21"/>
          <w:szCs w:val="21"/>
        </w:rPr>
        <w:t xml:space="preserve">unless the exceptions added under section 1101.2 of the IMC and the corresponding references added to chapter 15 of the IMC have been removed, preventing these changes </w:t>
      </w:r>
      <w:r w:rsidR="003A050C" w:rsidRPr="00A54AB5">
        <w:rPr>
          <w:color w:val="1D3C47" w:themeColor="text1"/>
          <w:sz w:val="21"/>
          <w:szCs w:val="21"/>
        </w:rPr>
        <w:t xml:space="preserve">from taking effect in the 2024 code cycle </w:t>
      </w:r>
      <w:r w:rsidR="00E326FB" w:rsidRPr="00A54AB5">
        <w:rPr>
          <w:color w:val="1D3C47" w:themeColor="text1"/>
          <w:sz w:val="21"/>
          <w:szCs w:val="21"/>
        </w:rPr>
        <w:t>and</w:t>
      </w:r>
      <w:r w:rsidR="003A050C" w:rsidRPr="00A54AB5">
        <w:rPr>
          <w:color w:val="1D3C47" w:themeColor="text1"/>
          <w:sz w:val="21"/>
          <w:szCs w:val="21"/>
        </w:rPr>
        <w:t xml:space="preserve"> retain</w:t>
      </w:r>
      <w:r w:rsidR="00E26A3F" w:rsidRPr="00A54AB5">
        <w:rPr>
          <w:color w:val="1D3C47" w:themeColor="text1"/>
          <w:sz w:val="21"/>
          <w:szCs w:val="21"/>
        </w:rPr>
        <w:t>ing</w:t>
      </w:r>
      <w:r w:rsidR="003A050C" w:rsidRPr="00A54AB5">
        <w:rPr>
          <w:color w:val="1D3C47" w:themeColor="text1"/>
          <w:sz w:val="21"/>
          <w:szCs w:val="21"/>
        </w:rPr>
        <w:t xml:space="preserve"> the nationally coordinated U.S. safety framework. </w:t>
      </w:r>
    </w:p>
    <w:p w14:paraId="0CBC7256" w14:textId="347AF508" w:rsidR="00A54AB5" w:rsidRPr="00A54AB5" w:rsidRDefault="003A050C" w:rsidP="003A050C">
      <w:pPr>
        <w:rPr>
          <w:color w:val="1D3C47" w:themeColor="text1"/>
          <w:sz w:val="21"/>
          <w:szCs w:val="21"/>
        </w:rPr>
      </w:pPr>
      <w:r w:rsidRPr="00A54AB5">
        <w:rPr>
          <w:color w:val="1D3C47" w:themeColor="text1"/>
          <w:sz w:val="21"/>
          <w:szCs w:val="21"/>
        </w:rPr>
        <w:t xml:space="preserve">A code provision can be technically permissible on paper and still be unsafe to implement in practice. </w:t>
      </w:r>
    </w:p>
    <w:p w14:paraId="2ECD30FD" w14:textId="6C16F8B0" w:rsidR="00EC2361" w:rsidRDefault="003A050C" w:rsidP="003A050C">
      <w:pPr>
        <w:rPr>
          <w:color w:val="1D3C47" w:themeColor="text1"/>
          <w:sz w:val="21"/>
          <w:szCs w:val="21"/>
        </w:rPr>
      </w:pPr>
      <w:r w:rsidRPr="00A54AB5">
        <w:rPr>
          <w:color w:val="1D3C47" w:themeColor="text1"/>
          <w:sz w:val="21"/>
          <w:szCs w:val="21"/>
        </w:rPr>
        <w:t>Respectfully,</w:t>
      </w:r>
    </w:p>
    <w:p w14:paraId="2A4B1FA4" w14:textId="77777777" w:rsidR="00A54AB5" w:rsidRPr="00A54AB5" w:rsidRDefault="00A54AB5" w:rsidP="003A050C">
      <w:pPr>
        <w:rPr>
          <w:color w:val="1D3C47" w:themeColor="text1"/>
          <w:sz w:val="21"/>
          <w:szCs w:val="21"/>
        </w:rPr>
      </w:pPr>
    </w:p>
    <w:p w14:paraId="3BE77FDA" w14:textId="14189ED7" w:rsidR="00FD484A" w:rsidRPr="00A54AB5" w:rsidRDefault="00EC2361" w:rsidP="00EC2361">
      <w:pPr>
        <w:spacing w:after="0" w:line="360" w:lineRule="auto"/>
        <w:rPr>
          <w:color w:val="1D3C47" w:themeColor="text1"/>
          <w:sz w:val="21"/>
          <w:szCs w:val="21"/>
        </w:rPr>
      </w:pPr>
      <w:r w:rsidRPr="00A54AB5">
        <w:rPr>
          <w:color w:val="1D3C47" w:themeColor="text1"/>
          <w:sz w:val="21"/>
          <w:szCs w:val="21"/>
        </w:rPr>
        <w:t>Heating, Air-Conditioning &amp; Refrigeration Distributors International</w:t>
      </w:r>
    </w:p>
    <w:p w14:paraId="3680F293" w14:textId="0F05FE61" w:rsidR="00EC2361" w:rsidRPr="00A54AB5" w:rsidRDefault="00EC2361" w:rsidP="00EC2361">
      <w:pPr>
        <w:spacing w:after="0" w:line="360" w:lineRule="auto"/>
        <w:rPr>
          <w:color w:val="1D3C47" w:themeColor="text1"/>
          <w:sz w:val="21"/>
          <w:szCs w:val="21"/>
        </w:rPr>
      </w:pPr>
      <w:r w:rsidRPr="00A54AB5">
        <w:rPr>
          <w:color w:val="1D3C47" w:themeColor="text1"/>
          <w:sz w:val="21"/>
          <w:szCs w:val="21"/>
        </w:rPr>
        <w:t>Air-Conditioning, Heating, &amp; Refrigeration Institute</w:t>
      </w:r>
    </w:p>
    <w:p w14:paraId="3B462019" w14:textId="42067097" w:rsidR="00EC2361" w:rsidRPr="00A54AB5" w:rsidRDefault="00EC2361" w:rsidP="00EC2361">
      <w:pPr>
        <w:spacing w:after="0" w:line="360" w:lineRule="auto"/>
        <w:rPr>
          <w:color w:val="1D3C47" w:themeColor="text1"/>
          <w:sz w:val="21"/>
          <w:szCs w:val="21"/>
        </w:rPr>
      </w:pPr>
      <w:r w:rsidRPr="00A54AB5">
        <w:rPr>
          <w:color w:val="1D3C47" w:themeColor="text1"/>
          <w:sz w:val="21"/>
          <w:szCs w:val="21"/>
        </w:rPr>
        <w:t>Washington Air</w:t>
      </w:r>
      <w:r w:rsidR="00FC5196">
        <w:rPr>
          <w:color w:val="1D3C47" w:themeColor="text1"/>
          <w:sz w:val="21"/>
          <w:szCs w:val="21"/>
        </w:rPr>
        <w:t xml:space="preserve"> </w:t>
      </w:r>
      <w:r w:rsidRPr="00A54AB5">
        <w:rPr>
          <w:color w:val="1D3C47" w:themeColor="text1"/>
          <w:sz w:val="21"/>
          <w:szCs w:val="21"/>
        </w:rPr>
        <w:t xml:space="preserve">Conditioning Contractors </w:t>
      </w:r>
      <w:r w:rsidR="00FC5196">
        <w:rPr>
          <w:color w:val="1D3C47" w:themeColor="text1"/>
          <w:sz w:val="21"/>
          <w:szCs w:val="21"/>
        </w:rPr>
        <w:t>Association</w:t>
      </w:r>
    </w:p>
    <w:p w14:paraId="473AA57B" w14:textId="719F8CBB" w:rsidR="00016714" w:rsidRDefault="00EC2361" w:rsidP="00EC2361">
      <w:pPr>
        <w:spacing w:after="0" w:line="360" w:lineRule="auto"/>
        <w:rPr>
          <w:color w:val="1D3C47" w:themeColor="text1"/>
          <w:sz w:val="21"/>
          <w:szCs w:val="21"/>
        </w:rPr>
      </w:pPr>
      <w:r w:rsidRPr="00A54AB5">
        <w:rPr>
          <w:color w:val="1D3C47" w:themeColor="text1"/>
          <w:sz w:val="21"/>
          <w:szCs w:val="21"/>
        </w:rPr>
        <w:t>Plumbing</w:t>
      </w:r>
      <w:r w:rsidR="00473463">
        <w:rPr>
          <w:color w:val="1D3C47" w:themeColor="text1"/>
          <w:sz w:val="21"/>
          <w:szCs w:val="21"/>
        </w:rPr>
        <w:t>-</w:t>
      </w:r>
      <w:r w:rsidRPr="00A54AB5">
        <w:rPr>
          <w:color w:val="1D3C47" w:themeColor="text1"/>
          <w:sz w:val="21"/>
          <w:szCs w:val="21"/>
        </w:rPr>
        <w:t>Heating</w:t>
      </w:r>
      <w:r w:rsidR="00473463">
        <w:rPr>
          <w:color w:val="1D3C47" w:themeColor="text1"/>
          <w:sz w:val="21"/>
          <w:szCs w:val="21"/>
        </w:rPr>
        <w:t>-</w:t>
      </w:r>
      <w:r w:rsidRPr="00A54AB5">
        <w:rPr>
          <w:color w:val="1D3C47" w:themeColor="text1"/>
          <w:sz w:val="21"/>
          <w:szCs w:val="21"/>
        </w:rPr>
        <w:t>Cooling Contractors of Washington</w:t>
      </w:r>
    </w:p>
    <w:p w14:paraId="5BB450C4" w14:textId="7CE21AA0" w:rsidR="00BC2927" w:rsidRPr="00A54AB5" w:rsidRDefault="00BC2927" w:rsidP="00EC2361">
      <w:pPr>
        <w:spacing w:after="0" w:line="360" w:lineRule="auto"/>
        <w:rPr>
          <w:color w:val="1D3C47" w:themeColor="text1"/>
          <w:sz w:val="21"/>
          <w:szCs w:val="21"/>
        </w:rPr>
      </w:pPr>
      <w:r w:rsidRPr="00A54AB5">
        <w:rPr>
          <w:color w:val="1D3C47" w:themeColor="text1"/>
          <w:sz w:val="21"/>
          <w:szCs w:val="21"/>
        </w:rPr>
        <w:t>Plumbing</w:t>
      </w:r>
      <w:r w:rsidR="00473463">
        <w:rPr>
          <w:color w:val="1D3C47" w:themeColor="text1"/>
          <w:sz w:val="21"/>
          <w:szCs w:val="21"/>
        </w:rPr>
        <w:t>-</w:t>
      </w:r>
      <w:r w:rsidRPr="00A54AB5">
        <w:rPr>
          <w:color w:val="1D3C47" w:themeColor="text1"/>
          <w:sz w:val="21"/>
          <w:szCs w:val="21"/>
        </w:rPr>
        <w:t>Heating</w:t>
      </w:r>
      <w:r w:rsidR="00473463">
        <w:rPr>
          <w:color w:val="1D3C47" w:themeColor="text1"/>
          <w:sz w:val="21"/>
          <w:szCs w:val="21"/>
        </w:rPr>
        <w:t>-</w:t>
      </w:r>
      <w:r w:rsidRPr="00A54AB5">
        <w:rPr>
          <w:color w:val="1D3C47" w:themeColor="text1"/>
          <w:sz w:val="21"/>
          <w:szCs w:val="21"/>
        </w:rPr>
        <w:t>Cooling Contractors</w:t>
      </w:r>
      <w:r w:rsidR="00473463">
        <w:rPr>
          <w:color w:val="1D3C47" w:themeColor="text1"/>
          <w:sz w:val="21"/>
          <w:szCs w:val="21"/>
        </w:rPr>
        <w:t xml:space="preserve"> - </w:t>
      </w:r>
      <w:r>
        <w:rPr>
          <w:color w:val="1D3C47" w:themeColor="text1"/>
          <w:sz w:val="21"/>
          <w:szCs w:val="21"/>
        </w:rPr>
        <w:t xml:space="preserve">National </w:t>
      </w:r>
      <w:r w:rsidRPr="00A54AB5">
        <w:rPr>
          <w:color w:val="1D3C47" w:themeColor="text1"/>
          <w:sz w:val="21"/>
          <w:szCs w:val="21"/>
        </w:rPr>
        <w:t>Association</w:t>
      </w:r>
    </w:p>
    <w:p w14:paraId="2341EAD7" w14:textId="77777777" w:rsidR="00A54AB5" w:rsidRPr="00024C88" w:rsidRDefault="00A54AB5" w:rsidP="00EC2361">
      <w:pPr>
        <w:spacing w:after="0" w:line="360" w:lineRule="auto"/>
        <w:rPr>
          <w:color w:val="1D3C47" w:themeColor="text1"/>
          <w:sz w:val="22"/>
        </w:rPr>
      </w:pPr>
    </w:p>
    <w:sectPr w:rsidR="00A54AB5" w:rsidRPr="00024C88" w:rsidSect="00EC2361">
      <w:headerReference w:type="first" r:id="rId8"/>
      <w:pgSz w:w="12226" w:h="15840"/>
      <w:pgMar w:top="1440" w:right="1440" w:bottom="1440" w:left="1440" w:header="864"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470F4B" w14:textId="77777777" w:rsidR="00EE2422" w:rsidRDefault="00EE2422" w:rsidP="00BF6383">
      <w:pPr>
        <w:spacing w:after="0" w:line="240" w:lineRule="auto"/>
      </w:pPr>
      <w:r>
        <w:separator/>
      </w:r>
    </w:p>
  </w:endnote>
  <w:endnote w:type="continuationSeparator" w:id="0">
    <w:p w14:paraId="10AD8D6F" w14:textId="77777777" w:rsidR="00EE2422" w:rsidRDefault="00EE2422" w:rsidP="00BF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fia Pro Light">
    <w:panose1 w:val="020B0604020202020204"/>
    <w:charset w:val="00"/>
    <w:family w:val="auto"/>
    <w:notTrueType/>
    <w:pitch w:val="variable"/>
    <w:sig w:usb0="A000002F" w:usb1="5000004B"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ofiaPro-Light">
    <w:altName w:val="Calibri"/>
    <w:panose1 w:val="020B0604020202020204"/>
    <w:charset w:val="00"/>
    <w:family w:val="auto"/>
    <w:notTrueType/>
    <w:pitch w:val="variable"/>
    <w:sig w:usb0="A000002F" w:usb1="5000004B" w:usb2="00000000" w:usb3="00000000" w:csb0="0000019F" w:csb1="00000000"/>
  </w:font>
  <w:font w:name="Sweet Sans Pro Medium">
    <w:panose1 w:val="020B0604020202020204"/>
    <w:charset w:val="4D"/>
    <w:family w:val="auto"/>
    <w:notTrueType/>
    <w:pitch w:val="variable"/>
    <w:sig w:usb0="A000803F" w:usb1="5000207B" w:usb2="00000000" w:usb3="00000000" w:csb0="00000093" w:csb1="00000000"/>
  </w:font>
  <w:font w:name="Times New Roman (Headings CS)">
    <w:panose1 w:val="020B0604020202020204"/>
    <w:charset w:val="00"/>
    <w:family w:val="roman"/>
    <w:pitch w:val="default"/>
  </w:font>
  <w:font w:name="Times New Roman (Body CS)">
    <w:altName w:val="Times New Roman"/>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Sweet Sans Pro">
    <w:panose1 w:val="020B0604020202020204"/>
    <w:charset w:val="4D"/>
    <w:family w:val="auto"/>
    <w:notTrueType/>
    <w:pitch w:val="variable"/>
    <w:sig w:usb0="A000803F" w:usb1="5000207B" w:usb2="00000000" w:usb3="00000000" w:csb0="00000093"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42A249" w14:textId="77777777" w:rsidR="00EE2422" w:rsidRDefault="00EE2422" w:rsidP="00BF6383">
      <w:pPr>
        <w:spacing w:after="0" w:line="240" w:lineRule="auto"/>
      </w:pPr>
      <w:r>
        <w:separator/>
      </w:r>
    </w:p>
  </w:footnote>
  <w:footnote w:type="continuationSeparator" w:id="0">
    <w:p w14:paraId="1E07EAB3" w14:textId="77777777" w:rsidR="00EE2422" w:rsidRDefault="00EE2422" w:rsidP="00BF6383">
      <w:pPr>
        <w:spacing w:after="0" w:line="240" w:lineRule="auto"/>
      </w:pPr>
      <w:r>
        <w:continuationSeparator/>
      </w:r>
    </w:p>
  </w:footnote>
  <w:footnote w:id="1">
    <w:p w14:paraId="23D7EF04" w14:textId="77777777" w:rsidR="00B821AD" w:rsidRPr="002149DF" w:rsidRDefault="00B821AD" w:rsidP="00B821AD">
      <w:pPr>
        <w:pStyle w:val="FootnoteText"/>
        <w:rPr>
          <w:sz w:val="15"/>
          <w:szCs w:val="15"/>
        </w:rPr>
      </w:pPr>
      <w:r w:rsidRPr="0027748D">
        <w:rPr>
          <w:rStyle w:val="FootnoteReference"/>
          <w:color w:val="1D3C47" w:themeColor="text1"/>
          <w:sz w:val="15"/>
          <w:szCs w:val="15"/>
        </w:rPr>
        <w:footnoteRef/>
      </w:r>
      <w:r w:rsidRPr="0027748D">
        <w:rPr>
          <w:color w:val="1D3C47" w:themeColor="text1"/>
          <w:sz w:val="15"/>
          <w:szCs w:val="15"/>
        </w:rPr>
        <w:t xml:space="preserve"> Washington State Building Code Council, </w:t>
      </w:r>
      <w:r w:rsidRPr="0027748D">
        <w:rPr>
          <w:i/>
          <w:iCs/>
          <w:color w:val="1D3C47" w:themeColor="text1"/>
          <w:sz w:val="15"/>
          <w:szCs w:val="15"/>
        </w:rPr>
        <w:t>Summary Meeting Minutes</w:t>
      </w:r>
      <w:r w:rsidRPr="0027748D">
        <w:rPr>
          <w:color w:val="1D3C47" w:themeColor="text1"/>
          <w:sz w:val="15"/>
          <w:szCs w:val="15"/>
        </w:rPr>
        <w:t>, August 25, 2026, </w:t>
      </w:r>
      <w:hyperlink r:id="rId1" w:tgtFrame="_new" w:history="1">
        <w:r w:rsidRPr="0027748D">
          <w:rPr>
            <w:rStyle w:val="Hyperlink"/>
            <w:color w:val="1D3C47" w:themeColor="text1"/>
            <w:sz w:val="15"/>
            <w:szCs w:val="15"/>
            <w:u w:val="none"/>
          </w:rPr>
          <w:t>https://sbcc.wa.gov/sites/default/files/2026-09/sm08252026_rg.pdf</w:t>
        </w:r>
      </w:hyperlink>
    </w:p>
  </w:footnote>
  <w:footnote w:id="2">
    <w:p w14:paraId="2DF937C2" w14:textId="77777777" w:rsidR="00B821AD" w:rsidRPr="0027748D" w:rsidRDefault="00B821AD" w:rsidP="00B821AD">
      <w:pPr>
        <w:pStyle w:val="FootnoteText"/>
        <w:rPr>
          <w:color w:val="1D3C47" w:themeColor="text1"/>
        </w:rPr>
      </w:pPr>
      <w:r w:rsidRPr="0027748D">
        <w:rPr>
          <w:rStyle w:val="FootnoteReference"/>
          <w:color w:val="1D3C47" w:themeColor="text1"/>
          <w:sz w:val="15"/>
          <w:szCs w:val="15"/>
        </w:rPr>
        <w:footnoteRef/>
      </w:r>
      <w:r w:rsidRPr="0027748D">
        <w:rPr>
          <w:color w:val="1D3C47" w:themeColor="text1"/>
          <w:sz w:val="15"/>
          <w:szCs w:val="15"/>
        </w:rPr>
        <w:t xml:space="preserve"> Wash. Rev. Code § 19.27.031(7), </w:t>
      </w:r>
      <w:hyperlink r:id="rId2" w:tgtFrame="_new" w:history="1">
        <w:r w:rsidRPr="0027748D">
          <w:rPr>
            <w:rStyle w:val="Hyperlink"/>
            <w:color w:val="1D3C47" w:themeColor="text1"/>
            <w:sz w:val="15"/>
            <w:szCs w:val="15"/>
            <w:u w:val="none"/>
          </w:rPr>
          <w:t>https://app.leg.wa.gov/RCW/default.aspx?cite=19.27.031</w:t>
        </w:r>
      </w:hyperlink>
    </w:p>
  </w:footnote>
  <w:footnote w:id="3">
    <w:p w14:paraId="4CDCD602" w14:textId="77777777" w:rsidR="00485756" w:rsidRPr="0027748D" w:rsidRDefault="00485756">
      <w:pPr>
        <w:pStyle w:val="FootnoteText"/>
        <w:rPr>
          <w:color w:val="1D3C47" w:themeColor="text1"/>
          <w:sz w:val="21"/>
          <w:szCs w:val="21"/>
        </w:rPr>
      </w:pPr>
      <w:r w:rsidRPr="0027748D">
        <w:rPr>
          <w:rStyle w:val="FootnoteReference"/>
          <w:color w:val="1D3C47" w:themeColor="text1"/>
          <w:sz w:val="15"/>
          <w:szCs w:val="15"/>
        </w:rPr>
        <w:footnoteRef/>
      </w:r>
      <w:r w:rsidRPr="0027748D">
        <w:rPr>
          <w:color w:val="1D3C47" w:themeColor="text1"/>
          <w:sz w:val="15"/>
          <w:szCs w:val="15"/>
        </w:rPr>
        <w:t xml:space="preserve"> </w:t>
      </w:r>
      <w:r w:rsidRPr="0027748D">
        <w:rPr>
          <w:i/>
          <w:iCs/>
          <w:color w:val="1D3C47" w:themeColor="text1"/>
          <w:sz w:val="15"/>
          <w:szCs w:val="15"/>
        </w:rPr>
        <w:t>UL 60335-2-40: Household and Similar Electrical Appliances—Safety—Part 2-40: Particular Requirements for Electrical Heat Pumps, Air-Conditioners and Dehumidifiers</w:t>
      </w:r>
    </w:p>
  </w:footnote>
  <w:footnote w:id="4">
    <w:p w14:paraId="4F0ADDF9" w14:textId="77777777" w:rsidR="00485756" w:rsidRDefault="00485756">
      <w:pPr>
        <w:pStyle w:val="FootnoteText"/>
      </w:pPr>
      <w:r w:rsidRPr="0027748D">
        <w:rPr>
          <w:rStyle w:val="FootnoteReference"/>
          <w:color w:val="1D3C47" w:themeColor="text1"/>
          <w:sz w:val="15"/>
          <w:szCs w:val="15"/>
        </w:rPr>
        <w:footnoteRef/>
      </w:r>
      <w:r w:rsidRPr="0027748D">
        <w:rPr>
          <w:color w:val="1D3C47" w:themeColor="text1"/>
          <w:sz w:val="15"/>
          <w:szCs w:val="15"/>
        </w:rPr>
        <w:t xml:space="preserve"> </w:t>
      </w:r>
      <w:r w:rsidRPr="0027748D">
        <w:rPr>
          <w:i/>
          <w:iCs/>
          <w:color w:val="1D3C47" w:themeColor="text1"/>
          <w:sz w:val="15"/>
          <w:szCs w:val="15"/>
        </w:rPr>
        <w:t>ANSI/ASHRAE Standard 15.2-2024: Safety Standard for Refrigeration Systems in Residential Applications</w:t>
      </w:r>
    </w:p>
  </w:footnote>
  <w:footnote w:id="5">
    <w:p w14:paraId="55B1B298" w14:textId="3C2219D3" w:rsidR="009A4641" w:rsidRPr="009A4641" w:rsidRDefault="009A4641">
      <w:pPr>
        <w:pStyle w:val="FootnoteText"/>
        <w:rPr>
          <w:sz w:val="15"/>
          <w:szCs w:val="15"/>
        </w:rPr>
      </w:pPr>
      <w:r w:rsidRPr="009A4641">
        <w:rPr>
          <w:rStyle w:val="FootnoteReference"/>
          <w:sz w:val="15"/>
          <w:szCs w:val="15"/>
        </w:rPr>
        <w:footnoteRef/>
      </w:r>
      <w:r w:rsidRPr="009A4641">
        <w:rPr>
          <w:sz w:val="15"/>
          <w:szCs w:val="15"/>
        </w:rPr>
        <w:t xml:space="preserve"> </w:t>
      </w:r>
      <w:r w:rsidRPr="009A4641">
        <w:rPr>
          <w:i/>
          <w:iCs/>
          <w:sz w:val="15"/>
          <w:szCs w:val="15"/>
        </w:rPr>
        <w:t>See, e.g.,</w:t>
      </w:r>
      <w:r w:rsidRPr="009A4641">
        <w:rPr>
          <w:sz w:val="15"/>
          <w:szCs w:val="15"/>
        </w:rPr>
        <w:t xml:space="preserve"> 89 Fed. Reg. 50,410 (June 13, 2024); 86 Fed. Reg. 24,444 (May 6, 2021).</w:t>
      </w:r>
    </w:p>
  </w:footnote>
  <w:footnote w:id="6">
    <w:p w14:paraId="41A5B502" w14:textId="29AE0A41" w:rsidR="002149DF" w:rsidRPr="0027748D" w:rsidRDefault="002149DF">
      <w:pPr>
        <w:pStyle w:val="FootnoteText"/>
        <w:rPr>
          <w:color w:val="1D3C47" w:themeColor="text1"/>
        </w:rPr>
      </w:pPr>
      <w:r w:rsidRPr="0027748D">
        <w:rPr>
          <w:rStyle w:val="FootnoteReference"/>
          <w:color w:val="1D3C47" w:themeColor="text1"/>
          <w:sz w:val="15"/>
          <w:szCs w:val="15"/>
        </w:rPr>
        <w:footnoteRef/>
      </w:r>
      <w:r w:rsidRPr="0027748D">
        <w:rPr>
          <w:color w:val="1D3C47" w:themeColor="text1"/>
          <w:sz w:val="21"/>
          <w:szCs w:val="21"/>
        </w:rPr>
        <w:t xml:space="preserve"> </w:t>
      </w:r>
      <w:r w:rsidRPr="0027748D">
        <w:rPr>
          <w:color w:val="1D3C47" w:themeColor="text1"/>
          <w:sz w:val="15"/>
          <w:szCs w:val="15"/>
        </w:rPr>
        <w:t>Washington State Legislature, RCW 70A.60.110, “Refrigerant Transition Task Force,” 2025 c. 313 § 3. Washington State Legislature, RCW 70A.60.110, “Refrigerant Transition Task Force,” 2025 c. 313 § 3.https://app.leg.wa.gov/RCW/</w:t>
      </w:r>
      <w:proofErr w:type="spellStart"/>
      <w:r w:rsidRPr="0027748D">
        <w:rPr>
          <w:color w:val="1D3C47" w:themeColor="text1"/>
          <w:sz w:val="15"/>
          <w:szCs w:val="15"/>
        </w:rPr>
        <w:t>default.aspx?cite</w:t>
      </w:r>
      <w:proofErr w:type="spellEnd"/>
      <w:r w:rsidRPr="0027748D">
        <w:rPr>
          <w:color w:val="1D3C47" w:themeColor="text1"/>
          <w:sz w:val="15"/>
          <w:szCs w:val="15"/>
        </w:rPr>
        <w:t>=70A.60.110</w:t>
      </w:r>
    </w:p>
  </w:footnote>
  <w:footnote w:id="7">
    <w:p w14:paraId="27809A03" w14:textId="3EE45119" w:rsidR="002149DF" w:rsidRPr="00397815" w:rsidRDefault="002149DF" w:rsidP="00397815">
      <w:pPr>
        <w:pStyle w:val="FootnoteText"/>
        <w:rPr>
          <w:sz w:val="15"/>
          <w:szCs w:val="15"/>
        </w:rPr>
      </w:pPr>
      <w:r w:rsidRPr="0027748D">
        <w:rPr>
          <w:rStyle w:val="FootnoteReference"/>
          <w:color w:val="1D3C47" w:themeColor="text1"/>
          <w:sz w:val="15"/>
          <w:szCs w:val="15"/>
        </w:rPr>
        <w:footnoteRef/>
      </w:r>
      <w:r w:rsidRPr="0027748D">
        <w:rPr>
          <w:color w:val="1D3C47" w:themeColor="text1"/>
          <w:sz w:val="15"/>
          <w:szCs w:val="15"/>
        </w:rPr>
        <w:t xml:space="preserve"> </w:t>
      </w:r>
      <w:r w:rsidR="00397815" w:rsidRPr="0027748D">
        <w:rPr>
          <w:color w:val="1D3C47" w:themeColor="text1"/>
          <w:sz w:val="15"/>
          <w:szCs w:val="15"/>
        </w:rPr>
        <w:t xml:space="preserve">Washington State Legislature, RCW 70A.60.120, “Transition to Refrigerants with Low Global Warming Potential—Rule Making,” 2025 c.313 § 4, </w:t>
      </w:r>
      <w:r w:rsidRPr="0027748D">
        <w:rPr>
          <w:color w:val="1D3C47" w:themeColor="text1"/>
          <w:sz w:val="15"/>
          <w:szCs w:val="15"/>
        </w:rPr>
        <w:t>https://app.leg.wa.gov/RCW/default.aspx?cite=70A.60.120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07F7F" w14:textId="043D387F" w:rsidR="00EC2361" w:rsidRDefault="00EC2361">
    <w:pPr>
      <w:pStyle w:val="Header"/>
    </w:pPr>
    <w:r>
      <w:rPr>
        <w:noProof/>
        <w:color w:val="1D3C47" w:themeColor="text1"/>
        <w:sz w:val="18"/>
        <w:szCs w:val="18"/>
      </w:rPr>
      <w:drawing>
        <wp:inline distT="0" distB="0" distL="0" distR="0" wp14:anchorId="51714F42" wp14:editId="1233C141">
          <wp:extent cx="1289391" cy="697442"/>
          <wp:effectExtent l="0" t="0" r="0" b="0"/>
          <wp:docPr id="122772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08994" name="Picture 2830899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8257" cy="837465"/>
                  </a:xfrm>
                  <a:prstGeom prst="rect">
                    <a:avLst/>
                  </a:prstGeom>
                </pic:spPr>
              </pic:pic>
            </a:graphicData>
          </a:graphic>
        </wp:inline>
      </w:drawing>
    </w:r>
    <w:r w:rsidR="0089669B">
      <w:t xml:space="preserve"> </w:t>
    </w:r>
    <w:r w:rsidR="0089669B" w:rsidRPr="004D672C">
      <w:rPr>
        <w:noProof/>
      </w:rPr>
      <w:drawing>
        <wp:inline distT="0" distB="0" distL="0" distR="0" wp14:anchorId="02A087A3" wp14:editId="04D6517D">
          <wp:extent cx="1024466" cy="687618"/>
          <wp:effectExtent l="0" t="0" r="4445" b="0"/>
          <wp:docPr id="1680755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038" cy="717535"/>
                  </a:xfrm>
                  <a:prstGeom prst="rect">
                    <a:avLst/>
                  </a:prstGeom>
                  <a:noFill/>
                  <a:ln>
                    <a:noFill/>
                  </a:ln>
                </pic:spPr>
              </pic:pic>
            </a:graphicData>
          </a:graphic>
        </wp:inline>
      </w:drawing>
    </w:r>
    <w:r w:rsidR="00275F3A">
      <w:rPr>
        <w:noProof/>
      </w:rPr>
      <w:drawing>
        <wp:inline distT="0" distB="0" distL="0" distR="0" wp14:anchorId="0B2B28B6" wp14:editId="7482819C">
          <wp:extent cx="1487191" cy="694266"/>
          <wp:effectExtent l="0" t="0" r="0" b="4445"/>
          <wp:docPr id="1606175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75179" name="Picture 1606175179"/>
                  <pic:cNvPicPr/>
                </pic:nvPicPr>
                <pic:blipFill>
                  <a:blip r:embed="rId3">
                    <a:extLst>
                      <a:ext uri="{28A0092B-C50C-407E-A947-70E740481C1C}">
                        <a14:useLocalDpi xmlns:a14="http://schemas.microsoft.com/office/drawing/2010/main" val="0"/>
                      </a:ext>
                    </a:extLst>
                  </a:blip>
                  <a:stretch>
                    <a:fillRect/>
                  </a:stretch>
                </pic:blipFill>
                <pic:spPr>
                  <a:xfrm>
                    <a:off x="0" y="0"/>
                    <a:ext cx="1637900" cy="764621"/>
                  </a:xfrm>
                  <a:prstGeom prst="rect">
                    <a:avLst/>
                  </a:prstGeom>
                </pic:spPr>
              </pic:pic>
            </a:graphicData>
          </a:graphic>
        </wp:inline>
      </w:drawing>
    </w:r>
    <w:r w:rsidR="003B50E5">
      <w:rPr>
        <w:noProof/>
      </w:rPr>
      <w:drawing>
        <wp:inline distT="0" distB="0" distL="0" distR="0" wp14:anchorId="0A43DA24" wp14:editId="68056289">
          <wp:extent cx="982133" cy="1023011"/>
          <wp:effectExtent l="0" t="0" r="0" b="5715"/>
          <wp:docPr id="1827848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48865" name="Picture 1827848865"/>
                  <pic:cNvPicPr/>
                </pic:nvPicPr>
                <pic:blipFill>
                  <a:blip r:embed="rId4">
                    <a:extLst>
                      <a:ext uri="{28A0092B-C50C-407E-A947-70E740481C1C}">
                        <a14:useLocalDpi xmlns:a14="http://schemas.microsoft.com/office/drawing/2010/main" val="0"/>
                      </a:ext>
                    </a:extLst>
                  </a:blip>
                  <a:stretch>
                    <a:fillRect/>
                  </a:stretch>
                </pic:blipFill>
                <pic:spPr>
                  <a:xfrm>
                    <a:off x="0" y="0"/>
                    <a:ext cx="1039352" cy="1082611"/>
                  </a:xfrm>
                  <a:prstGeom prst="rect">
                    <a:avLst/>
                  </a:prstGeom>
                </pic:spPr>
              </pic:pic>
            </a:graphicData>
          </a:graphic>
        </wp:inline>
      </w:drawing>
    </w:r>
    <w:r w:rsidR="00FC5196">
      <w:rPr>
        <w:noProof/>
      </w:rPr>
      <w:drawing>
        <wp:inline distT="0" distB="0" distL="0" distR="0" wp14:anchorId="3BAD1E67" wp14:editId="4CC09905">
          <wp:extent cx="1104971" cy="895350"/>
          <wp:effectExtent l="0" t="0" r="0" b="0"/>
          <wp:docPr id="908375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75394" name="Picture 908375394"/>
                  <pic:cNvPicPr/>
                </pic:nvPicPr>
                <pic:blipFill>
                  <a:blip r:embed="rId5">
                    <a:extLst>
                      <a:ext uri="{28A0092B-C50C-407E-A947-70E740481C1C}">
                        <a14:useLocalDpi xmlns:a14="http://schemas.microsoft.com/office/drawing/2010/main" val="0"/>
                      </a:ext>
                    </a:extLst>
                  </a:blip>
                  <a:stretch>
                    <a:fillRect/>
                  </a:stretch>
                </pic:blipFill>
                <pic:spPr>
                  <a:xfrm>
                    <a:off x="0" y="0"/>
                    <a:ext cx="1192852" cy="966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92FC4"/>
    <w:multiLevelType w:val="hybridMultilevel"/>
    <w:tmpl w:val="8D265F5C"/>
    <w:lvl w:ilvl="0" w:tplc="F0DE1114">
      <w:numFmt w:val="bullet"/>
      <w:lvlText w:val="•"/>
      <w:lvlJc w:val="left"/>
      <w:pPr>
        <w:ind w:left="720" w:hanging="360"/>
      </w:pPr>
      <w:rPr>
        <w:rFonts w:ascii="Sofia Pro Light" w:eastAsiaTheme="minorHAnsi" w:hAnsi="Sofia Pro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F4485"/>
    <w:multiLevelType w:val="hybridMultilevel"/>
    <w:tmpl w:val="9F7CD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F314D"/>
    <w:multiLevelType w:val="hybridMultilevel"/>
    <w:tmpl w:val="1C7E71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E757020"/>
    <w:multiLevelType w:val="hybridMultilevel"/>
    <w:tmpl w:val="5A5A8642"/>
    <w:lvl w:ilvl="0" w:tplc="DF86B604">
      <w:numFmt w:val="bullet"/>
      <w:lvlText w:val="•"/>
      <w:lvlJc w:val="left"/>
      <w:pPr>
        <w:ind w:left="360" w:hanging="360"/>
      </w:pPr>
      <w:rPr>
        <w:rFonts w:ascii="Sofia Pro Light" w:eastAsiaTheme="minorHAnsi" w:hAnsi="Sofia Pro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406F89"/>
    <w:multiLevelType w:val="hybridMultilevel"/>
    <w:tmpl w:val="10F291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EE024B3"/>
    <w:multiLevelType w:val="hybridMultilevel"/>
    <w:tmpl w:val="4872B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7562EE"/>
    <w:multiLevelType w:val="hybridMultilevel"/>
    <w:tmpl w:val="EF1C9B60"/>
    <w:lvl w:ilvl="0" w:tplc="8B26CFEA">
      <w:numFmt w:val="bullet"/>
      <w:lvlText w:val="•"/>
      <w:lvlJc w:val="left"/>
      <w:pPr>
        <w:ind w:left="720" w:hanging="360"/>
      </w:pPr>
      <w:rPr>
        <w:rFonts w:ascii="Sofia Pro Light" w:eastAsiaTheme="minorHAnsi" w:hAnsi="Sofia Pro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588216">
    <w:abstractNumId w:val="1"/>
  </w:num>
  <w:num w:numId="2" w16cid:durableId="1498960348">
    <w:abstractNumId w:val="4"/>
  </w:num>
  <w:num w:numId="3" w16cid:durableId="1892568620">
    <w:abstractNumId w:val="6"/>
  </w:num>
  <w:num w:numId="4" w16cid:durableId="1029598885">
    <w:abstractNumId w:val="0"/>
  </w:num>
  <w:num w:numId="5" w16cid:durableId="788549058">
    <w:abstractNumId w:val="5"/>
  </w:num>
  <w:num w:numId="6" w16cid:durableId="1330526187">
    <w:abstractNumId w:val="3"/>
  </w:num>
  <w:num w:numId="7" w16cid:durableId="30586228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83"/>
    <w:rsid w:val="00016714"/>
    <w:rsid w:val="00024C88"/>
    <w:rsid w:val="0003549B"/>
    <w:rsid w:val="00046686"/>
    <w:rsid w:val="000B79CC"/>
    <w:rsid w:val="000E32F8"/>
    <w:rsid w:val="000E7F1A"/>
    <w:rsid w:val="00100127"/>
    <w:rsid w:val="00111168"/>
    <w:rsid w:val="00126D6A"/>
    <w:rsid w:val="00135943"/>
    <w:rsid w:val="00142C32"/>
    <w:rsid w:val="001440B8"/>
    <w:rsid w:val="00146031"/>
    <w:rsid w:val="0015529C"/>
    <w:rsid w:val="001553B8"/>
    <w:rsid w:val="0017001B"/>
    <w:rsid w:val="00176694"/>
    <w:rsid w:val="001F3368"/>
    <w:rsid w:val="002149DF"/>
    <w:rsid w:val="002151B8"/>
    <w:rsid w:val="002232B2"/>
    <w:rsid w:val="002539A0"/>
    <w:rsid w:val="00262474"/>
    <w:rsid w:val="00267E61"/>
    <w:rsid w:val="00274406"/>
    <w:rsid w:val="00275F3A"/>
    <w:rsid w:val="0027748D"/>
    <w:rsid w:val="00282EE5"/>
    <w:rsid w:val="002A0A72"/>
    <w:rsid w:val="002E5CC7"/>
    <w:rsid w:val="002F0560"/>
    <w:rsid w:val="002F1D75"/>
    <w:rsid w:val="002F66F0"/>
    <w:rsid w:val="00302AC4"/>
    <w:rsid w:val="00322BF1"/>
    <w:rsid w:val="0032626D"/>
    <w:rsid w:val="00342B23"/>
    <w:rsid w:val="00383D6C"/>
    <w:rsid w:val="00397815"/>
    <w:rsid w:val="003A050C"/>
    <w:rsid w:val="003B50E5"/>
    <w:rsid w:val="003E7F06"/>
    <w:rsid w:val="00404394"/>
    <w:rsid w:val="00424B6B"/>
    <w:rsid w:val="00427FE4"/>
    <w:rsid w:val="004323BC"/>
    <w:rsid w:val="0043553B"/>
    <w:rsid w:val="00460BB6"/>
    <w:rsid w:val="00473463"/>
    <w:rsid w:val="00475E62"/>
    <w:rsid w:val="004776D3"/>
    <w:rsid w:val="00485756"/>
    <w:rsid w:val="00493CD4"/>
    <w:rsid w:val="0049702F"/>
    <w:rsid w:val="004A1904"/>
    <w:rsid w:val="00504CF8"/>
    <w:rsid w:val="005634CF"/>
    <w:rsid w:val="0058760A"/>
    <w:rsid w:val="005C5B4C"/>
    <w:rsid w:val="005C7D9A"/>
    <w:rsid w:val="005D018B"/>
    <w:rsid w:val="005D3E64"/>
    <w:rsid w:val="005E47C2"/>
    <w:rsid w:val="006057AB"/>
    <w:rsid w:val="006057FC"/>
    <w:rsid w:val="006C29D4"/>
    <w:rsid w:val="006E4F2D"/>
    <w:rsid w:val="007255C4"/>
    <w:rsid w:val="00730437"/>
    <w:rsid w:val="00730ABB"/>
    <w:rsid w:val="007418EC"/>
    <w:rsid w:val="00743D12"/>
    <w:rsid w:val="0075734B"/>
    <w:rsid w:val="007669F0"/>
    <w:rsid w:val="0078306E"/>
    <w:rsid w:val="007B6105"/>
    <w:rsid w:val="007C1A34"/>
    <w:rsid w:val="007C5CF4"/>
    <w:rsid w:val="007F5804"/>
    <w:rsid w:val="007F6CF1"/>
    <w:rsid w:val="008151C4"/>
    <w:rsid w:val="00836589"/>
    <w:rsid w:val="008655EF"/>
    <w:rsid w:val="008735AC"/>
    <w:rsid w:val="0089669B"/>
    <w:rsid w:val="00896715"/>
    <w:rsid w:val="008D7A38"/>
    <w:rsid w:val="008F1350"/>
    <w:rsid w:val="00904F01"/>
    <w:rsid w:val="009606A9"/>
    <w:rsid w:val="00984D7A"/>
    <w:rsid w:val="009944F0"/>
    <w:rsid w:val="009A4641"/>
    <w:rsid w:val="009A63B3"/>
    <w:rsid w:val="009B659A"/>
    <w:rsid w:val="009F3FA3"/>
    <w:rsid w:val="009F3FC9"/>
    <w:rsid w:val="00A0411D"/>
    <w:rsid w:val="00A21054"/>
    <w:rsid w:val="00A40442"/>
    <w:rsid w:val="00A41DF6"/>
    <w:rsid w:val="00A523F1"/>
    <w:rsid w:val="00A54AB5"/>
    <w:rsid w:val="00A72D4F"/>
    <w:rsid w:val="00A90FC6"/>
    <w:rsid w:val="00A94722"/>
    <w:rsid w:val="00AB7186"/>
    <w:rsid w:val="00AB7BBC"/>
    <w:rsid w:val="00AC1D78"/>
    <w:rsid w:val="00B03555"/>
    <w:rsid w:val="00B10505"/>
    <w:rsid w:val="00B553C9"/>
    <w:rsid w:val="00B64D9D"/>
    <w:rsid w:val="00B7129E"/>
    <w:rsid w:val="00B74952"/>
    <w:rsid w:val="00B821AD"/>
    <w:rsid w:val="00BB364A"/>
    <w:rsid w:val="00BB4836"/>
    <w:rsid w:val="00BC2927"/>
    <w:rsid w:val="00BC78BD"/>
    <w:rsid w:val="00BD68E8"/>
    <w:rsid w:val="00BE5E89"/>
    <w:rsid w:val="00BF6383"/>
    <w:rsid w:val="00BF6F2D"/>
    <w:rsid w:val="00C04370"/>
    <w:rsid w:val="00C0531C"/>
    <w:rsid w:val="00C14279"/>
    <w:rsid w:val="00C56AC7"/>
    <w:rsid w:val="00C66B4B"/>
    <w:rsid w:val="00CA5A9B"/>
    <w:rsid w:val="00D13299"/>
    <w:rsid w:val="00D32E2D"/>
    <w:rsid w:val="00D36079"/>
    <w:rsid w:val="00D42F32"/>
    <w:rsid w:val="00D63C38"/>
    <w:rsid w:val="00D81202"/>
    <w:rsid w:val="00D95260"/>
    <w:rsid w:val="00DA150A"/>
    <w:rsid w:val="00DB2265"/>
    <w:rsid w:val="00DE389D"/>
    <w:rsid w:val="00E26A3F"/>
    <w:rsid w:val="00E326FB"/>
    <w:rsid w:val="00E564C7"/>
    <w:rsid w:val="00EC2361"/>
    <w:rsid w:val="00EC5C77"/>
    <w:rsid w:val="00ED0C27"/>
    <w:rsid w:val="00EE2422"/>
    <w:rsid w:val="00EE5349"/>
    <w:rsid w:val="00F114C2"/>
    <w:rsid w:val="00F20472"/>
    <w:rsid w:val="00F62A6C"/>
    <w:rsid w:val="00F74C64"/>
    <w:rsid w:val="00F90A91"/>
    <w:rsid w:val="00F926D9"/>
    <w:rsid w:val="00FC5196"/>
    <w:rsid w:val="00FD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8177A"/>
  <w15:chartTrackingRefBased/>
  <w15:docId w15:val="{0C8669F8-95D4-4324-960D-6D20A275E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ofiaPro-Light" w:eastAsiaTheme="minorHAnsi" w:hAnsi="SofiaPro-Light"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9CC"/>
    <w:rPr>
      <w:rFonts w:ascii="Sofia Pro Light" w:hAnsi="Sofia Pro Light"/>
      <w:color w:val="1D3C47"/>
    </w:rPr>
  </w:style>
  <w:style w:type="paragraph" w:styleId="Heading1">
    <w:name w:val="heading 1"/>
    <w:basedOn w:val="Normal"/>
    <w:next w:val="Normal"/>
    <w:link w:val="Heading1Char"/>
    <w:uiPriority w:val="9"/>
    <w:qFormat/>
    <w:rsid w:val="000B79CC"/>
    <w:pPr>
      <w:keepNext/>
      <w:keepLines/>
      <w:spacing w:before="120" w:after="80"/>
      <w:outlineLvl w:val="0"/>
    </w:pPr>
    <w:rPr>
      <w:rFonts w:ascii="Sweet Sans Pro Medium" w:eastAsiaTheme="majorEastAsia" w:hAnsi="Sweet Sans Pro Medium" w:cstheme="majorBidi"/>
      <w:sz w:val="52"/>
      <w:szCs w:val="40"/>
    </w:rPr>
  </w:style>
  <w:style w:type="paragraph" w:styleId="Heading2">
    <w:name w:val="heading 2"/>
    <w:basedOn w:val="Normal"/>
    <w:next w:val="Normal"/>
    <w:link w:val="Heading2Char"/>
    <w:uiPriority w:val="9"/>
    <w:unhideWhenUsed/>
    <w:qFormat/>
    <w:rsid w:val="000B79CC"/>
    <w:pPr>
      <w:keepNext/>
      <w:keepLines/>
      <w:spacing w:before="160" w:after="80"/>
      <w:outlineLvl w:val="1"/>
    </w:pPr>
    <w:rPr>
      <w:rFonts w:ascii="Sweet Sans Pro Medium" w:eastAsiaTheme="majorEastAsia" w:hAnsi="Sweet Sans Pro Medium" w:cs="Times New Roman (Headings CS)"/>
      <w:sz w:val="36"/>
      <w:szCs w:val="32"/>
    </w:rPr>
  </w:style>
  <w:style w:type="paragraph" w:styleId="Heading3">
    <w:name w:val="heading 3"/>
    <w:basedOn w:val="Normal"/>
    <w:next w:val="Normal"/>
    <w:link w:val="Heading3Char"/>
    <w:uiPriority w:val="9"/>
    <w:unhideWhenUsed/>
    <w:qFormat/>
    <w:rsid w:val="000B79CC"/>
    <w:pPr>
      <w:keepNext/>
      <w:keepLines/>
      <w:spacing w:before="160" w:after="80"/>
      <w:outlineLvl w:val="2"/>
    </w:pPr>
    <w:rPr>
      <w:rFonts w:ascii="Sweet Sans Pro Medium" w:eastAsiaTheme="majorEastAsia" w:hAnsi="Sweet Sans Pro Medium" w:cstheme="majorBidi"/>
      <w:sz w:val="28"/>
      <w:szCs w:val="28"/>
    </w:rPr>
  </w:style>
  <w:style w:type="paragraph" w:styleId="Heading4">
    <w:name w:val="heading 4"/>
    <w:basedOn w:val="Normal"/>
    <w:next w:val="Normal"/>
    <w:link w:val="Heading4Char"/>
    <w:uiPriority w:val="9"/>
    <w:semiHidden/>
    <w:unhideWhenUsed/>
    <w:qFormat/>
    <w:rsid w:val="000B79CC"/>
    <w:pPr>
      <w:keepNext/>
      <w:keepLines/>
      <w:spacing w:before="80" w:after="40"/>
      <w:outlineLvl w:val="3"/>
    </w:pPr>
    <w:rPr>
      <w:rFonts w:ascii="Sweet Sans Pro Medium" w:eastAsiaTheme="majorEastAsia" w:hAnsi="Sweet Sans Pro Medium" w:cs="Times New Roman (Headings CS)"/>
      <w:iCs/>
      <w:caps/>
      <w:spacing w:val="20"/>
      <w:sz w:val="28"/>
    </w:rPr>
  </w:style>
  <w:style w:type="paragraph" w:styleId="Heading5">
    <w:name w:val="heading 5"/>
    <w:basedOn w:val="Normal"/>
    <w:next w:val="Normal"/>
    <w:link w:val="Heading5Char"/>
    <w:uiPriority w:val="9"/>
    <w:semiHidden/>
    <w:unhideWhenUsed/>
    <w:qFormat/>
    <w:rsid w:val="00BF6383"/>
    <w:pPr>
      <w:keepNext/>
      <w:keepLines/>
      <w:spacing w:before="80" w:after="40"/>
      <w:outlineLvl w:val="4"/>
    </w:pPr>
    <w:rPr>
      <w:rFonts w:asciiTheme="minorHAnsi" w:eastAsiaTheme="majorEastAsia" w:hAnsiTheme="minorHAnsi" w:cstheme="majorBidi"/>
      <w:color w:val="F7770E" w:themeColor="accent1" w:themeShade="BF"/>
    </w:rPr>
  </w:style>
  <w:style w:type="paragraph" w:styleId="Heading6">
    <w:name w:val="heading 6"/>
    <w:basedOn w:val="Normal"/>
    <w:next w:val="Normal"/>
    <w:link w:val="Heading6Char"/>
    <w:uiPriority w:val="9"/>
    <w:semiHidden/>
    <w:unhideWhenUsed/>
    <w:qFormat/>
    <w:rsid w:val="00BF6383"/>
    <w:pPr>
      <w:keepNext/>
      <w:keepLines/>
      <w:spacing w:before="40" w:after="0"/>
      <w:outlineLvl w:val="5"/>
    </w:pPr>
    <w:rPr>
      <w:rFonts w:asciiTheme="minorHAnsi" w:eastAsiaTheme="majorEastAsia" w:hAnsiTheme="minorHAnsi" w:cstheme="majorBidi"/>
      <w:i/>
      <w:iCs/>
      <w:color w:val="4691AC" w:themeColor="text1" w:themeTint="A6"/>
    </w:rPr>
  </w:style>
  <w:style w:type="paragraph" w:styleId="Heading7">
    <w:name w:val="heading 7"/>
    <w:basedOn w:val="Normal"/>
    <w:next w:val="Normal"/>
    <w:link w:val="Heading7Char"/>
    <w:uiPriority w:val="9"/>
    <w:semiHidden/>
    <w:unhideWhenUsed/>
    <w:qFormat/>
    <w:rsid w:val="00BF6383"/>
    <w:pPr>
      <w:keepNext/>
      <w:keepLines/>
      <w:spacing w:before="40" w:after="0"/>
      <w:outlineLvl w:val="6"/>
    </w:pPr>
    <w:rPr>
      <w:rFonts w:asciiTheme="minorHAnsi" w:eastAsiaTheme="majorEastAsia" w:hAnsiTheme="minorHAnsi" w:cstheme="majorBidi"/>
      <w:color w:val="4691AC" w:themeColor="text1" w:themeTint="A6"/>
    </w:rPr>
  </w:style>
  <w:style w:type="paragraph" w:styleId="Heading8">
    <w:name w:val="heading 8"/>
    <w:basedOn w:val="Normal"/>
    <w:next w:val="Normal"/>
    <w:link w:val="Heading8Char"/>
    <w:uiPriority w:val="9"/>
    <w:semiHidden/>
    <w:unhideWhenUsed/>
    <w:qFormat/>
    <w:rsid w:val="00BF6383"/>
    <w:pPr>
      <w:keepNext/>
      <w:keepLines/>
      <w:spacing w:after="0"/>
      <w:outlineLvl w:val="7"/>
    </w:pPr>
    <w:rPr>
      <w:rFonts w:asciiTheme="minorHAnsi" w:eastAsiaTheme="majorEastAsia" w:hAnsiTheme="minorHAnsi" w:cstheme="majorBidi"/>
      <w:i/>
      <w:iCs/>
      <w:color w:val="2F6173" w:themeColor="text1" w:themeTint="D8"/>
    </w:rPr>
  </w:style>
  <w:style w:type="paragraph" w:styleId="Heading9">
    <w:name w:val="heading 9"/>
    <w:basedOn w:val="Normal"/>
    <w:next w:val="Normal"/>
    <w:link w:val="Heading9Char"/>
    <w:uiPriority w:val="9"/>
    <w:semiHidden/>
    <w:unhideWhenUsed/>
    <w:qFormat/>
    <w:rsid w:val="00BF6383"/>
    <w:pPr>
      <w:keepNext/>
      <w:keepLines/>
      <w:spacing w:after="0"/>
      <w:outlineLvl w:val="8"/>
    </w:pPr>
    <w:rPr>
      <w:rFonts w:asciiTheme="minorHAnsi" w:eastAsiaTheme="majorEastAsia" w:hAnsiTheme="minorHAnsi" w:cstheme="majorBidi"/>
      <w:color w:val="2F617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9CC"/>
    <w:rPr>
      <w:rFonts w:ascii="Sweet Sans Pro Medium" w:eastAsiaTheme="majorEastAsia" w:hAnsi="Sweet Sans Pro Medium" w:cstheme="majorBidi"/>
      <w:color w:val="1D3C47"/>
      <w:sz w:val="52"/>
      <w:szCs w:val="40"/>
    </w:rPr>
  </w:style>
  <w:style w:type="character" w:customStyle="1" w:styleId="Heading2Char">
    <w:name w:val="Heading 2 Char"/>
    <w:basedOn w:val="DefaultParagraphFont"/>
    <w:link w:val="Heading2"/>
    <w:uiPriority w:val="9"/>
    <w:rsid w:val="000B79CC"/>
    <w:rPr>
      <w:rFonts w:ascii="Sweet Sans Pro Medium" w:eastAsiaTheme="majorEastAsia" w:hAnsi="Sweet Sans Pro Medium" w:cs="Times New Roman (Headings CS)"/>
      <w:color w:val="1D3C47"/>
      <w:sz w:val="36"/>
      <w:szCs w:val="32"/>
    </w:rPr>
  </w:style>
  <w:style w:type="character" w:customStyle="1" w:styleId="Heading3Char">
    <w:name w:val="Heading 3 Char"/>
    <w:basedOn w:val="DefaultParagraphFont"/>
    <w:link w:val="Heading3"/>
    <w:uiPriority w:val="9"/>
    <w:rsid w:val="000B79CC"/>
    <w:rPr>
      <w:rFonts w:ascii="Sweet Sans Pro Medium" w:eastAsiaTheme="majorEastAsia" w:hAnsi="Sweet Sans Pro Medium" w:cstheme="majorBidi"/>
      <w:color w:val="1D3C47"/>
      <w:sz w:val="28"/>
      <w:szCs w:val="28"/>
    </w:rPr>
  </w:style>
  <w:style w:type="character" w:customStyle="1" w:styleId="Heading4Char">
    <w:name w:val="Heading 4 Char"/>
    <w:basedOn w:val="DefaultParagraphFont"/>
    <w:link w:val="Heading4"/>
    <w:uiPriority w:val="9"/>
    <w:semiHidden/>
    <w:rsid w:val="000B79CC"/>
    <w:rPr>
      <w:rFonts w:ascii="Sweet Sans Pro Medium" w:eastAsiaTheme="majorEastAsia" w:hAnsi="Sweet Sans Pro Medium" w:cs="Times New Roman (Headings CS)"/>
      <w:iCs/>
      <w:caps/>
      <w:color w:val="1D3C47"/>
      <w:spacing w:val="20"/>
      <w:sz w:val="28"/>
    </w:rPr>
  </w:style>
  <w:style w:type="character" w:customStyle="1" w:styleId="Heading5Char">
    <w:name w:val="Heading 5 Char"/>
    <w:basedOn w:val="DefaultParagraphFont"/>
    <w:link w:val="Heading5"/>
    <w:uiPriority w:val="9"/>
    <w:semiHidden/>
    <w:rsid w:val="00BF6383"/>
    <w:rPr>
      <w:rFonts w:asciiTheme="minorHAnsi" w:eastAsiaTheme="majorEastAsia" w:hAnsiTheme="minorHAnsi" w:cstheme="majorBidi"/>
      <w:color w:val="F7770E" w:themeColor="accent1" w:themeShade="BF"/>
    </w:rPr>
  </w:style>
  <w:style w:type="character" w:customStyle="1" w:styleId="Heading6Char">
    <w:name w:val="Heading 6 Char"/>
    <w:basedOn w:val="DefaultParagraphFont"/>
    <w:link w:val="Heading6"/>
    <w:uiPriority w:val="9"/>
    <w:semiHidden/>
    <w:rsid w:val="00BF6383"/>
    <w:rPr>
      <w:rFonts w:asciiTheme="minorHAnsi" w:eastAsiaTheme="majorEastAsia" w:hAnsiTheme="minorHAnsi" w:cstheme="majorBidi"/>
      <w:i/>
      <w:iCs/>
      <w:color w:val="4691AC" w:themeColor="text1" w:themeTint="A6"/>
    </w:rPr>
  </w:style>
  <w:style w:type="character" w:customStyle="1" w:styleId="Heading7Char">
    <w:name w:val="Heading 7 Char"/>
    <w:basedOn w:val="DefaultParagraphFont"/>
    <w:link w:val="Heading7"/>
    <w:uiPriority w:val="9"/>
    <w:semiHidden/>
    <w:rsid w:val="00BF6383"/>
    <w:rPr>
      <w:rFonts w:asciiTheme="minorHAnsi" w:eastAsiaTheme="majorEastAsia" w:hAnsiTheme="minorHAnsi" w:cstheme="majorBidi"/>
      <w:color w:val="4691AC" w:themeColor="text1" w:themeTint="A6"/>
    </w:rPr>
  </w:style>
  <w:style w:type="character" w:customStyle="1" w:styleId="Heading8Char">
    <w:name w:val="Heading 8 Char"/>
    <w:basedOn w:val="DefaultParagraphFont"/>
    <w:link w:val="Heading8"/>
    <w:uiPriority w:val="9"/>
    <w:semiHidden/>
    <w:rsid w:val="00BF6383"/>
    <w:rPr>
      <w:rFonts w:asciiTheme="minorHAnsi" w:eastAsiaTheme="majorEastAsia" w:hAnsiTheme="minorHAnsi" w:cstheme="majorBidi"/>
      <w:i/>
      <w:iCs/>
      <w:color w:val="2F6173" w:themeColor="text1" w:themeTint="D8"/>
    </w:rPr>
  </w:style>
  <w:style w:type="character" w:customStyle="1" w:styleId="Heading9Char">
    <w:name w:val="Heading 9 Char"/>
    <w:basedOn w:val="DefaultParagraphFont"/>
    <w:link w:val="Heading9"/>
    <w:uiPriority w:val="9"/>
    <w:semiHidden/>
    <w:rsid w:val="00BF6383"/>
    <w:rPr>
      <w:rFonts w:asciiTheme="minorHAnsi" w:eastAsiaTheme="majorEastAsia" w:hAnsiTheme="minorHAnsi" w:cstheme="majorBidi"/>
      <w:color w:val="2F6173" w:themeColor="text1" w:themeTint="D8"/>
    </w:rPr>
  </w:style>
  <w:style w:type="paragraph" w:styleId="Title">
    <w:name w:val="Title"/>
    <w:basedOn w:val="Normal"/>
    <w:next w:val="Normal"/>
    <w:link w:val="TitleChar"/>
    <w:uiPriority w:val="10"/>
    <w:qFormat/>
    <w:rsid w:val="000B79CC"/>
    <w:pPr>
      <w:spacing w:after="80" w:line="240" w:lineRule="auto"/>
      <w:contextualSpacing/>
    </w:pPr>
    <w:rPr>
      <w:rFonts w:ascii="Sweet Sans Pro Medium" w:eastAsiaTheme="majorEastAsia" w:hAnsi="Sweet Sans Pro Medium" w:cstheme="majorBidi"/>
      <w:spacing w:val="-10"/>
      <w:kern w:val="28"/>
      <w:sz w:val="72"/>
      <w:szCs w:val="56"/>
    </w:rPr>
  </w:style>
  <w:style w:type="character" w:customStyle="1" w:styleId="TitleChar">
    <w:name w:val="Title Char"/>
    <w:basedOn w:val="DefaultParagraphFont"/>
    <w:link w:val="Title"/>
    <w:uiPriority w:val="10"/>
    <w:rsid w:val="000B79CC"/>
    <w:rPr>
      <w:rFonts w:ascii="Sweet Sans Pro Medium" w:eastAsiaTheme="majorEastAsia" w:hAnsi="Sweet Sans Pro Medium" w:cstheme="majorBidi"/>
      <w:color w:val="1D3C47"/>
      <w:spacing w:val="-10"/>
      <w:kern w:val="28"/>
      <w:sz w:val="72"/>
      <w:szCs w:val="56"/>
    </w:rPr>
  </w:style>
  <w:style w:type="paragraph" w:styleId="Subtitle">
    <w:name w:val="Subtitle"/>
    <w:basedOn w:val="Normal"/>
    <w:next w:val="Normal"/>
    <w:link w:val="SubtitleChar"/>
    <w:uiPriority w:val="11"/>
    <w:qFormat/>
    <w:rsid w:val="000B79CC"/>
    <w:pPr>
      <w:numPr>
        <w:ilvl w:val="1"/>
      </w:numPr>
    </w:pPr>
    <w:rPr>
      <w:rFonts w:ascii="Sweet Sans Pro Medium" w:eastAsiaTheme="minorEastAsia" w:hAnsi="Sweet Sans Pro Medium" w:cs="Times New Roman (Body CS)"/>
      <w:caps/>
      <w:spacing w:val="70"/>
      <w:sz w:val="36"/>
    </w:rPr>
  </w:style>
  <w:style w:type="paragraph" w:styleId="ListParagraph">
    <w:name w:val="List Paragraph"/>
    <w:basedOn w:val="Normal"/>
    <w:uiPriority w:val="34"/>
    <w:qFormat/>
    <w:rsid w:val="00BF6383"/>
    <w:pPr>
      <w:ind w:left="720"/>
      <w:contextualSpacing/>
    </w:pPr>
  </w:style>
  <w:style w:type="character" w:styleId="IntenseReference">
    <w:name w:val="Intense Reference"/>
    <w:basedOn w:val="DefaultParagraphFont"/>
    <w:uiPriority w:val="32"/>
    <w:qFormat/>
    <w:rsid w:val="00BF6383"/>
    <w:rPr>
      <w:b/>
      <w:bCs/>
      <w:smallCaps/>
      <w:color w:val="F7770E" w:themeColor="accent1" w:themeShade="BF"/>
      <w:spacing w:val="5"/>
    </w:rPr>
  </w:style>
  <w:style w:type="paragraph" w:styleId="Header">
    <w:name w:val="header"/>
    <w:basedOn w:val="Normal"/>
    <w:link w:val="HeaderChar"/>
    <w:uiPriority w:val="99"/>
    <w:unhideWhenUsed/>
    <w:rsid w:val="00BF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383"/>
  </w:style>
  <w:style w:type="paragraph" w:styleId="Footer">
    <w:name w:val="footer"/>
    <w:basedOn w:val="Normal"/>
    <w:link w:val="FooterChar"/>
    <w:uiPriority w:val="99"/>
    <w:unhideWhenUsed/>
    <w:rsid w:val="00BF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383"/>
  </w:style>
  <w:style w:type="character" w:styleId="Hyperlink">
    <w:name w:val="Hyperlink"/>
    <w:basedOn w:val="DefaultParagraphFont"/>
    <w:uiPriority w:val="99"/>
    <w:unhideWhenUsed/>
    <w:rsid w:val="00BF6383"/>
    <w:rPr>
      <w:color w:val="1D3C47" w:themeColor="hyperlink"/>
      <w:u w:val="single"/>
    </w:rPr>
  </w:style>
  <w:style w:type="character" w:styleId="UnresolvedMention">
    <w:name w:val="Unresolved Mention"/>
    <w:basedOn w:val="DefaultParagraphFont"/>
    <w:uiPriority w:val="99"/>
    <w:semiHidden/>
    <w:unhideWhenUsed/>
    <w:rsid w:val="00BF6383"/>
    <w:rPr>
      <w:color w:val="605E5C"/>
      <w:shd w:val="clear" w:color="auto" w:fill="E1DFDD"/>
    </w:rPr>
  </w:style>
  <w:style w:type="table" w:styleId="TableGrid">
    <w:name w:val="Table Grid"/>
    <w:basedOn w:val="TableNormal"/>
    <w:uiPriority w:val="39"/>
    <w:rsid w:val="00BF6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BF6383"/>
    <w:pPr>
      <w:spacing w:after="0" w:line="240" w:lineRule="auto"/>
    </w:pPr>
    <w:tblPr>
      <w:tblStyleRowBandSize w:val="1"/>
      <w:tblStyleColBandSize w:val="1"/>
      <w:tblBorders>
        <w:top w:val="single" w:sz="4" w:space="0" w:color="509CB7" w:themeColor="text1" w:themeTint="99"/>
        <w:left w:val="single" w:sz="4" w:space="0" w:color="509CB7" w:themeColor="text1" w:themeTint="99"/>
        <w:bottom w:val="single" w:sz="4" w:space="0" w:color="509CB7" w:themeColor="text1" w:themeTint="99"/>
        <w:right w:val="single" w:sz="4" w:space="0" w:color="509CB7" w:themeColor="text1" w:themeTint="99"/>
        <w:insideH w:val="single" w:sz="4" w:space="0" w:color="509CB7" w:themeColor="text1" w:themeTint="99"/>
        <w:insideV w:val="single" w:sz="4" w:space="0" w:color="509CB7" w:themeColor="text1" w:themeTint="99"/>
      </w:tblBorders>
    </w:tblPr>
    <w:tblStylePr w:type="firstRow">
      <w:rPr>
        <w:b/>
        <w:bCs/>
        <w:color w:val="FFFFFF" w:themeColor="background1"/>
      </w:rPr>
      <w:tblPr/>
      <w:tcPr>
        <w:tcBorders>
          <w:top w:val="single" w:sz="4" w:space="0" w:color="1D3C47" w:themeColor="text1"/>
          <w:left w:val="single" w:sz="4" w:space="0" w:color="1D3C47" w:themeColor="text1"/>
          <w:bottom w:val="single" w:sz="4" w:space="0" w:color="1D3C47" w:themeColor="text1"/>
          <w:right w:val="single" w:sz="4" w:space="0" w:color="1D3C47" w:themeColor="text1"/>
          <w:insideH w:val="nil"/>
          <w:insideV w:val="nil"/>
        </w:tcBorders>
        <w:shd w:val="clear" w:color="auto" w:fill="1D3C47" w:themeFill="text1"/>
      </w:tcPr>
    </w:tblStylePr>
    <w:tblStylePr w:type="lastRow">
      <w:rPr>
        <w:b/>
        <w:bCs/>
      </w:rPr>
      <w:tblPr/>
      <w:tcPr>
        <w:tcBorders>
          <w:top w:val="double" w:sz="4" w:space="0" w:color="1D3C47" w:themeColor="text1"/>
        </w:tcBorders>
      </w:tcPr>
    </w:tblStylePr>
    <w:tblStylePr w:type="firstCol">
      <w:rPr>
        <w:b/>
        <w:bCs/>
      </w:rPr>
    </w:tblStylePr>
    <w:tblStylePr w:type="lastCol">
      <w:rPr>
        <w:b/>
        <w:bCs/>
      </w:rPr>
    </w:tblStylePr>
    <w:tblStylePr w:type="band1Vert">
      <w:tblPr/>
      <w:tcPr>
        <w:shd w:val="clear" w:color="auto" w:fill="C4DEE7" w:themeFill="text1" w:themeFillTint="33"/>
      </w:tcPr>
    </w:tblStylePr>
    <w:tblStylePr w:type="band1Horz">
      <w:tblPr/>
      <w:tcPr>
        <w:shd w:val="clear" w:color="auto" w:fill="C4DEE7" w:themeFill="text1" w:themeFillTint="33"/>
      </w:tcPr>
    </w:tblStylePr>
  </w:style>
  <w:style w:type="paragraph" w:styleId="NormalWeb">
    <w:name w:val="Normal (Web)"/>
    <w:basedOn w:val="Normal"/>
    <w:uiPriority w:val="99"/>
    <w:semiHidden/>
    <w:unhideWhenUsed/>
    <w:rsid w:val="00BF6383"/>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SubtitleChar">
    <w:name w:val="Subtitle Char"/>
    <w:basedOn w:val="DefaultParagraphFont"/>
    <w:link w:val="Subtitle"/>
    <w:uiPriority w:val="11"/>
    <w:rsid w:val="000B79CC"/>
    <w:rPr>
      <w:rFonts w:ascii="Sweet Sans Pro Medium" w:eastAsiaTheme="minorEastAsia" w:hAnsi="Sweet Sans Pro Medium" w:cs="Times New Roman (Body CS)"/>
      <w:caps/>
      <w:color w:val="1D3C47"/>
      <w:spacing w:val="70"/>
      <w:sz w:val="36"/>
    </w:rPr>
  </w:style>
  <w:style w:type="character" w:styleId="SubtleEmphasis">
    <w:name w:val="Subtle Emphasis"/>
    <w:basedOn w:val="DefaultParagraphFont"/>
    <w:uiPriority w:val="19"/>
    <w:qFormat/>
    <w:rsid w:val="00ED0C27"/>
    <w:rPr>
      <w:rFonts w:ascii="Sofia Pro Light" w:hAnsi="Sofia Pro Light"/>
      <w:b w:val="0"/>
      <w:i/>
      <w:iCs/>
      <w:color w:val="3A798F" w:themeColor="text1" w:themeTint="BF"/>
    </w:rPr>
  </w:style>
  <w:style w:type="paragraph" w:styleId="FootnoteText">
    <w:name w:val="footnote text"/>
    <w:basedOn w:val="Normal"/>
    <w:link w:val="FootnoteTextChar"/>
    <w:uiPriority w:val="99"/>
    <w:semiHidden/>
    <w:unhideWhenUsed/>
    <w:rsid w:val="00904F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4F01"/>
    <w:rPr>
      <w:rFonts w:ascii="Sofia Pro Light" w:hAnsi="Sofia Pro Light"/>
      <w:color w:val="1D3C47"/>
      <w:sz w:val="20"/>
      <w:szCs w:val="20"/>
    </w:rPr>
  </w:style>
  <w:style w:type="character" w:styleId="FootnoteReference">
    <w:name w:val="footnote reference"/>
    <w:basedOn w:val="DefaultParagraphFont"/>
    <w:uiPriority w:val="99"/>
    <w:semiHidden/>
    <w:unhideWhenUsed/>
    <w:rsid w:val="00904F01"/>
    <w:rPr>
      <w:vertAlign w:val="superscript"/>
    </w:rPr>
  </w:style>
  <w:style w:type="character" w:styleId="FollowedHyperlink">
    <w:name w:val="FollowedHyperlink"/>
    <w:basedOn w:val="DefaultParagraphFont"/>
    <w:uiPriority w:val="99"/>
    <w:semiHidden/>
    <w:unhideWhenUsed/>
    <w:rsid w:val="0049702F"/>
    <w:rPr>
      <w:color w:val="1D3C47" w:themeColor="followedHyperlink"/>
      <w:u w:val="single"/>
    </w:rPr>
  </w:style>
  <w:style w:type="paragraph" w:styleId="Revision">
    <w:name w:val="Revision"/>
    <w:hidden/>
    <w:uiPriority w:val="99"/>
    <w:semiHidden/>
    <w:rsid w:val="00024C88"/>
    <w:pPr>
      <w:spacing w:after="0" w:line="240" w:lineRule="auto"/>
    </w:pPr>
    <w:rPr>
      <w:rFonts w:ascii="Sofia Pro Light" w:hAnsi="Sofia Pro Light"/>
      <w:color w:val="1D3C47"/>
    </w:rPr>
  </w:style>
  <w:style w:type="character" w:styleId="CommentReference">
    <w:name w:val="annotation reference"/>
    <w:basedOn w:val="DefaultParagraphFont"/>
    <w:uiPriority w:val="99"/>
    <w:semiHidden/>
    <w:unhideWhenUsed/>
    <w:rsid w:val="00493CD4"/>
    <w:rPr>
      <w:sz w:val="16"/>
      <w:szCs w:val="16"/>
    </w:rPr>
  </w:style>
  <w:style w:type="paragraph" w:styleId="CommentText">
    <w:name w:val="annotation text"/>
    <w:basedOn w:val="Normal"/>
    <w:link w:val="CommentTextChar"/>
    <w:uiPriority w:val="99"/>
    <w:unhideWhenUsed/>
    <w:rsid w:val="00493CD4"/>
    <w:pPr>
      <w:spacing w:line="240" w:lineRule="auto"/>
    </w:pPr>
    <w:rPr>
      <w:sz w:val="20"/>
      <w:szCs w:val="20"/>
    </w:rPr>
  </w:style>
  <w:style w:type="character" w:customStyle="1" w:styleId="CommentTextChar">
    <w:name w:val="Comment Text Char"/>
    <w:basedOn w:val="DefaultParagraphFont"/>
    <w:link w:val="CommentText"/>
    <w:uiPriority w:val="99"/>
    <w:rsid w:val="00493CD4"/>
    <w:rPr>
      <w:rFonts w:ascii="Sofia Pro Light" w:hAnsi="Sofia Pro Light"/>
      <w:color w:val="1D3C47"/>
      <w:sz w:val="20"/>
      <w:szCs w:val="20"/>
    </w:rPr>
  </w:style>
  <w:style w:type="paragraph" w:styleId="CommentSubject">
    <w:name w:val="annotation subject"/>
    <w:basedOn w:val="CommentText"/>
    <w:next w:val="CommentText"/>
    <w:link w:val="CommentSubjectChar"/>
    <w:uiPriority w:val="99"/>
    <w:semiHidden/>
    <w:unhideWhenUsed/>
    <w:rsid w:val="00493CD4"/>
    <w:rPr>
      <w:b/>
      <w:bCs/>
    </w:rPr>
  </w:style>
  <w:style w:type="character" w:customStyle="1" w:styleId="CommentSubjectChar">
    <w:name w:val="Comment Subject Char"/>
    <w:basedOn w:val="CommentTextChar"/>
    <w:link w:val="CommentSubject"/>
    <w:uiPriority w:val="99"/>
    <w:semiHidden/>
    <w:rsid w:val="00493CD4"/>
    <w:rPr>
      <w:rFonts w:ascii="Sofia Pro Light" w:hAnsi="Sofia Pro Light"/>
      <w:b/>
      <w:bCs/>
      <w:color w:val="1D3C47"/>
      <w:sz w:val="20"/>
      <w:szCs w:val="20"/>
    </w:rPr>
  </w:style>
  <w:style w:type="paragraph" w:customStyle="1" w:styleId="p1">
    <w:name w:val="p1"/>
    <w:basedOn w:val="Normal"/>
    <w:rsid w:val="00A54AB5"/>
    <w:pPr>
      <w:spacing w:after="0" w:line="240" w:lineRule="auto"/>
    </w:pPr>
    <w:rPr>
      <w:rFonts w:ascii="Helvetica" w:eastAsia="Times New Roman" w:hAnsi="Helvetica" w:cs="Times New Roman"/>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7667599">
      <w:bodyDiv w:val="1"/>
      <w:marLeft w:val="0"/>
      <w:marRight w:val="0"/>
      <w:marTop w:val="0"/>
      <w:marBottom w:val="0"/>
      <w:divBdr>
        <w:top w:val="none" w:sz="0" w:space="0" w:color="auto"/>
        <w:left w:val="none" w:sz="0" w:space="0" w:color="auto"/>
        <w:bottom w:val="none" w:sz="0" w:space="0" w:color="auto"/>
        <w:right w:val="none" w:sz="0" w:space="0" w:color="auto"/>
      </w:divBdr>
    </w:div>
    <w:div w:id="184550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pp.leg.wa.gov/RCW/default.aspx?cite=19.27.031" TargetMode="External"/><Relationship Id="rId1" Type="http://schemas.openxmlformats.org/officeDocument/2006/relationships/hyperlink" Target="https://sbcc.wa.gov/sites/default/files/2026-09/sm08252026_rg.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HARDI Theme">
      <a:dk1>
        <a:srgbClr val="1D3C47"/>
      </a:dk1>
      <a:lt1>
        <a:srgbClr val="FFFFFF"/>
      </a:lt1>
      <a:dk2>
        <a:srgbClr val="D35930"/>
      </a:dk2>
      <a:lt2>
        <a:srgbClr val="EDEDEB"/>
      </a:lt2>
      <a:accent1>
        <a:srgbClr val="FAA864"/>
      </a:accent1>
      <a:accent2>
        <a:srgbClr val="A3BAC6"/>
      </a:accent2>
      <a:accent3>
        <a:srgbClr val="6F332B"/>
      </a:accent3>
      <a:accent4>
        <a:srgbClr val="959E93"/>
      </a:accent4>
      <a:accent5>
        <a:srgbClr val="D35930"/>
      </a:accent5>
      <a:accent6>
        <a:srgbClr val="59797D"/>
      </a:accent6>
      <a:hlink>
        <a:srgbClr val="1D3C47"/>
      </a:hlink>
      <a:folHlink>
        <a:srgbClr val="1D3C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05C18-BB2B-484A-955E-A1B9CB714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1607</Words>
  <Characters>10012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Titus</dc:creator>
  <cp:keywords/>
  <dc:description/>
  <cp:lastModifiedBy>Zac Johnson</cp:lastModifiedBy>
  <cp:revision>9</cp:revision>
  <cp:lastPrinted>2026-09-28T20:14:00Z</cp:lastPrinted>
  <dcterms:created xsi:type="dcterms:W3CDTF">2026-10-06T13:41:00Z</dcterms:created>
  <dcterms:modified xsi:type="dcterms:W3CDTF">2026-10-06T18:45:00Z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5f633327-a007-4044-8ae5-3ba83473092f</vt:lpwstr>
  </property>
</Properties>
</file>